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FC73E" w14:textId="2853FE6B" w:rsidR="00BD5A6A" w:rsidRPr="004F7033" w:rsidRDefault="004F7033" w:rsidP="004F7033">
      <w:pPr>
        <w:pStyle w:val="KlavuzTablo31"/>
        <w:spacing w:before="120" w:after="120" w:line="240" w:lineRule="auto"/>
        <w:ind w:right="-142"/>
        <w:contextualSpacing/>
        <w:jc w:val="center"/>
        <w:rPr>
          <w:rFonts w:asciiTheme="minorHAnsi" w:hAnsiTheme="minorHAnsi" w:cstheme="minorHAnsi"/>
          <w:color w:val="auto"/>
          <w:sz w:val="22"/>
          <w:szCs w:val="22"/>
        </w:rPr>
      </w:pPr>
      <w:r>
        <w:rPr>
          <w:rFonts w:asciiTheme="minorHAnsi" w:hAnsiTheme="minorHAnsi" w:cstheme="minorHAnsi"/>
          <w:color w:val="auto"/>
        </w:rPr>
        <w:t>VERİ AKTARIM VE PAYLAŞIMI PROSEDÜRÜ</w:t>
      </w:r>
    </w:p>
    <w:p w14:paraId="7D743854" w14:textId="77777777" w:rsidR="00BD5A6A" w:rsidRPr="00AD18C6" w:rsidRDefault="00BD5A6A" w:rsidP="004F7033">
      <w:pPr>
        <w:spacing w:before="120" w:after="120"/>
        <w:ind w:right="-142"/>
        <w:contextualSpacing/>
        <w:jc w:val="both"/>
        <w:rPr>
          <w:rFonts w:asciiTheme="minorHAnsi" w:hAnsiTheme="minorHAnsi" w:cstheme="minorHAnsi"/>
        </w:rPr>
      </w:pPr>
    </w:p>
    <w:p w14:paraId="20709165" w14:textId="77777777" w:rsidR="00BD5A6A" w:rsidRPr="00A93005" w:rsidRDefault="00BD5A6A" w:rsidP="004F7033">
      <w:pPr>
        <w:keepNext/>
        <w:numPr>
          <w:ilvl w:val="0"/>
          <w:numId w:val="12"/>
        </w:numPr>
        <w:spacing w:before="120" w:after="120"/>
        <w:ind w:left="284" w:right="-142" w:hanging="284"/>
        <w:contextualSpacing/>
        <w:jc w:val="both"/>
        <w:outlineLvl w:val="0"/>
        <w:rPr>
          <w:rFonts w:asciiTheme="minorHAnsi" w:hAnsiTheme="minorHAnsi" w:cstheme="minorHAnsi"/>
          <w:b/>
        </w:rPr>
      </w:pPr>
      <w:bookmarkStart w:id="0" w:name="_Toc342294554"/>
      <w:bookmarkStart w:id="1" w:name="_Toc342294684"/>
      <w:bookmarkStart w:id="2" w:name="_Toc449083710"/>
      <w:r>
        <w:rPr>
          <w:rFonts w:asciiTheme="minorHAnsi" w:hAnsiTheme="minorHAnsi" w:cstheme="minorHAnsi"/>
          <w:b/>
        </w:rPr>
        <w:t>A</w:t>
      </w:r>
      <w:bookmarkStart w:id="3" w:name="_Toc174941626"/>
      <w:bookmarkEnd w:id="0"/>
      <w:bookmarkEnd w:id="1"/>
      <w:r>
        <w:rPr>
          <w:rFonts w:asciiTheme="minorHAnsi" w:hAnsiTheme="minorHAnsi" w:cstheme="minorHAnsi"/>
          <w:b/>
        </w:rPr>
        <w:t>MAÇ</w:t>
      </w:r>
      <w:bookmarkEnd w:id="2"/>
    </w:p>
    <w:p w14:paraId="5C2E6E94" w14:textId="626F163A" w:rsidR="00BD5A6A" w:rsidRPr="00A93005" w:rsidRDefault="00BD5A6A" w:rsidP="004F7033">
      <w:pPr>
        <w:spacing w:before="120" w:after="120"/>
        <w:ind w:right="-142"/>
        <w:contextualSpacing/>
        <w:jc w:val="both"/>
        <w:rPr>
          <w:rFonts w:asciiTheme="minorHAnsi" w:hAnsiTheme="minorHAnsi" w:cstheme="minorHAnsi"/>
        </w:rPr>
      </w:pPr>
      <w:bookmarkStart w:id="4" w:name="_Toc234638166"/>
      <w:bookmarkStart w:id="5" w:name="_Toc273697382"/>
      <w:bookmarkStart w:id="6" w:name="_Toc342294555"/>
      <w:bookmarkStart w:id="7" w:name="_Toc342294685"/>
      <w:bookmarkStart w:id="8" w:name="_Toc449083711"/>
      <w:r>
        <w:rPr>
          <w:rFonts w:asciiTheme="minorHAnsi" w:hAnsiTheme="minorHAnsi" w:cstheme="minorHAnsi"/>
        </w:rPr>
        <w:t>Bu dokümanın amacı, Başoğlan Çınarı Turizm Ticaret Tarım Akaryakıt İnşaat Mimarlık Mühendislik İthalat ve İhracat Ltd.Şti. tarafından gerçek kişilerden toplanan ve işlenen kişisel verilerin, kendi içindeki aktarımı veya yurt içinde ve yurt dışına aktarımı yapılması sırasındaki süreci belirlemek ve kişisel verilerin gizliliği ve güvenliğini sağlamaktır. İşbu metinde Başoğlan Çınarı Turizm Ticaret Tarım Akaryakıt İnşaat Mimarlık Mühendislik İthalat ve İhracat Ltd.Şti.; NUUP Hotel, Sento, Krei ve Patisserie olarak hizmet vermekte olup, metin içerisinde kısaca “NUUP Hotel” olarak anılacaktır.</w:t>
      </w:r>
    </w:p>
    <w:p w14:paraId="7C5517AD" w14:textId="77777777" w:rsidR="00BD5A6A" w:rsidRPr="00A93005" w:rsidRDefault="00BD5A6A" w:rsidP="004F7033">
      <w:pPr>
        <w:spacing w:before="120" w:after="120"/>
        <w:ind w:right="-142"/>
        <w:contextualSpacing/>
        <w:jc w:val="both"/>
        <w:rPr>
          <w:rFonts w:asciiTheme="minorHAnsi" w:hAnsiTheme="minorHAnsi" w:cstheme="minorHAnsi"/>
        </w:rPr>
      </w:pPr>
    </w:p>
    <w:p w14:paraId="677A47F9" w14:textId="77777777" w:rsidR="00BD5A6A" w:rsidRPr="00A93005" w:rsidRDefault="00BD5A6A" w:rsidP="004F7033">
      <w:pPr>
        <w:keepNext/>
        <w:numPr>
          <w:ilvl w:val="0"/>
          <w:numId w:val="12"/>
        </w:numPr>
        <w:spacing w:before="120" w:after="120"/>
        <w:ind w:left="284" w:right="-142" w:hanging="284"/>
        <w:contextualSpacing/>
        <w:jc w:val="both"/>
        <w:outlineLvl w:val="0"/>
        <w:rPr>
          <w:rFonts w:asciiTheme="minorHAnsi" w:hAnsiTheme="minorHAnsi" w:cstheme="minorHAnsi"/>
          <w:b/>
        </w:rPr>
      </w:pPr>
      <w:r>
        <w:rPr>
          <w:rFonts w:asciiTheme="minorHAnsi" w:hAnsiTheme="minorHAnsi" w:cstheme="minorHAnsi"/>
          <w:b/>
        </w:rPr>
        <w:t>KAPSAM</w:t>
      </w:r>
    </w:p>
    <w:p w14:paraId="707B0DEE"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Şirketin tüm yerleşkelerindeki kişisel verileri kapsamaktadır.</w:t>
      </w:r>
    </w:p>
    <w:p w14:paraId="3BD24F6F" w14:textId="77777777" w:rsidR="00BD5A6A" w:rsidRPr="00A93005" w:rsidRDefault="00BD5A6A" w:rsidP="004F7033">
      <w:pPr>
        <w:spacing w:before="120" w:after="120"/>
        <w:ind w:right="-142"/>
        <w:contextualSpacing/>
        <w:jc w:val="both"/>
        <w:rPr>
          <w:rFonts w:asciiTheme="minorHAnsi" w:hAnsiTheme="minorHAnsi" w:cstheme="minorHAnsi"/>
        </w:rPr>
      </w:pPr>
    </w:p>
    <w:p w14:paraId="0E3E256D" w14:textId="77777777" w:rsidR="00BD5A6A" w:rsidRPr="00A93005" w:rsidRDefault="00BD5A6A" w:rsidP="004F7033">
      <w:pPr>
        <w:keepNext/>
        <w:numPr>
          <w:ilvl w:val="0"/>
          <w:numId w:val="12"/>
        </w:numPr>
        <w:spacing w:before="120" w:after="120"/>
        <w:ind w:left="284" w:right="-142" w:hanging="284"/>
        <w:contextualSpacing/>
        <w:jc w:val="both"/>
        <w:outlineLvl w:val="0"/>
        <w:rPr>
          <w:rFonts w:asciiTheme="minorHAnsi" w:hAnsiTheme="minorHAnsi" w:cstheme="minorHAnsi"/>
          <w:b/>
        </w:rPr>
      </w:pPr>
      <w:r>
        <w:rPr>
          <w:rFonts w:asciiTheme="minorHAnsi" w:hAnsiTheme="minorHAnsi" w:cstheme="minorHAnsi"/>
          <w:b/>
        </w:rPr>
        <w:t>T</w:t>
      </w:r>
      <w:bookmarkEnd w:id="3"/>
      <w:bookmarkEnd w:id="4"/>
      <w:bookmarkEnd w:id="5"/>
      <w:bookmarkEnd w:id="6"/>
      <w:bookmarkEnd w:id="7"/>
      <w:r>
        <w:rPr>
          <w:rFonts w:asciiTheme="minorHAnsi" w:hAnsiTheme="minorHAnsi" w:cstheme="minorHAnsi"/>
          <w:b/>
        </w:rPr>
        <w:t>ANIMLAR</w:t>
      </w:r>
      <w:bookmarkEnd w:id="8"/>
    </w:p>
    <w:p w14:paraId="700DD110"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Kanun:</w:t>
      </w:r>
      <w:r>
        <w:rPr>
          <w:rFonts w:asciiTheme="minorHAnsi" w:hAnsiTheme="minorHAnsi" w:cstheme="minorHAnsi"/>
        </w:rPr>
        <w:t xml:space="preserve"> 6698 sayılı Kişisel Verilerin Korunması Kanununu,</w:t>
      </w:r>
    </w:p>
    <w:p w14:paraId="5D1A3D0F"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Kişisel veri:</w:t>
      </w:r>
      <w:r>
        <w:rPr>
          <w:rFonts w:asciiTheme="minorHAnsi" w:hAnsiTheme="minorHAnsi" w:cstheme="minorHAnsi"/>
        </w:rPr>
        <w:t xml:space="preserve"> Kimliği belirli veya belirlenebilir gerçek kişiye ilişkin her türlü bilgiyi,</w:t>
      </w:r>
    </w:p>
    <w:p w14:paraId="52A5638E"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Kişisel verilerin işlenmesi:</w:t>
      </w:r>
      <w:r>
        <w:rPr>
          <w:rFonts w:asciiTheme="minorHAnsi" w:hAnsiTheme="minorHAnsi" w:cstheme="minorHAnsi"/>
        </w:rPr>
        <w:t xml:space="preserve">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işlemi,</w:t>
      </w:r>
    </w:p>
    <w:p w14:paraId="2DE92923"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Veri sorumlusu:</w:t>
      </w:r>
      <w:r>
        <w:rPr>
          <w:rFonts w:asciiTheme="minorHAnsi" w:hAnsiTheme="minorHAnsi" w:cstheme="minorHAnsi"/>
        </w:rPr>
        <w:t xml:space="preserve"> Kişisel verilerin hukuka aykırı olarak işlenmesini ve verilere hukuka aykırı olarak erişilmesini önlemek, ayrıca verilerin muhafazasını sağlamak için uygun güvenlik düzeyini temin etmeye yönelik gerekli her türlü teknik ve idari tedbirleri almakla yükümlü tutulan tüzel veya gerçek kişiyi,</w:t>
      </w:r>
    </w:p>
    <w:p w14:paraId="64DBE26E"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 xml:space="preserve">KVK Çalışma Komitesi: </w:t>
      </w:r>
      <w:r>
        <w:rPr>
          <w:rFonts w:asciiTheme="minorHAnsi" w:hAnsiTheme="minorHAnsi" w:cstheme="minorHAnsi"/>
          <w:bCs/>
        </w:rPr>
        <w:t>V</w:t>
      </w:r>
      <w:r>
        <w:rPr>
          <w:rFonts w:asciiTheme="minorHAnsi" w:hAnsiTheme="minorHAnsi" w:cstheme="minorHAnsi"/>
        </w:rPr>
        <w:t>eri sorumlusu tarafından atanmış ve Kanun kapsamında oluşturulmuş süreçlerin idari takibi yapan gerçek kişi veya kişileri,</w:t>
      </w:r>
    </w:p>
    <w:p w14:paraId="628A7112"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Veri Sahibi:</w:t>
      </w:r>
      <w:r>
        <w:rPr>
          <w:rFonts w:asciiTheme="minorHAnsi" w:hAnsiTheme="minorHAnsi" w:cstheme="minorHAnsi"/>
        </w:rPr>
        <w:t xml:space="preserve"> Kişisel verilerin işlendiği Şirket bünyesinde bulunan fiziksel (basılı kopyalar, sözleşmeler vb.) ve elektronik (veri tabanı, uygulama seviyesi vb.) ortamlar üzerinde yer alan kişisel verilerden sorumlu olan, ilgili verilere erişimi kısıtlayarak yetkisiz erişimi engellemekle yükümlü olan ve diğer çalışanların prosedürlere uyumuna yardımcı olan gerçek veya tüzel kişileri,</w:t>
      </w:r>
    </w:p>
    <w:p w14:paraId="7420BAF1"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Açık rıza:</w:t>
      </w:r>
      <w:r>
        <w:rPr>
          <w:rFonts w:asciiTheme="minorHAnsi" w:hAnsiTheme="minorHAnsi" w:cstheme="minorHAnsi"/>
        </w:rPr>
        <w:t xml:space="preserve"> Belirli bir konuya ilişkin, bilgilendirilmeye dayanan ve özgür iradeyle açıklanan rızayı,</w:t>
      </w:r>
    </w:p>
    <w:p w14:paraId="26B0B5F9"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Kurul:</w:t>
      </w:r>
      <w:r>
        <w:rPr>
          <w:rFonts w:asciiTheme="minorHAnsi" w:hAnsiTheme="minorHAnsi" w:cstheme="minorHAnsi"/>
        </w:rPr>
        <w:t xml:space="preserve"> Kişisel Verileri Koruma Kurulunu,</w:t>
      </w:r>
    </w:p>
    <w:p w14:paraId="6441E633"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Kişisel veri işleme envanteri:</w:t>
      </w:r>
      <w:r>
        <w:rPr>
          <w:rFonts w:asciiTheme="minorHAnsi" w:hAnsiTheme="minorHAnsi" w:cstheme="minorHAnsi"/>
        </w:rPr>
        <w:t xml:space="preserve"> Veri sorumlularının iş süreçlerine bağlı olarak gerçekleştirmekte oldukları kişisel verileri işleme faaliyetlerini; kişisel verileri işleme amaçları, veri kategorisi, aktarılan alıcı grubu ve veri konusu kişi grubuyla ilişkilendirerek oluşturdukları ve kişisel verilerin işlendikleri amaçlar için gerekli olan azami süreyi, yabancı ülkelere aktarımı öngörülen kişisel verileri ve veri güvenliğine ilişkin alınan tedbirleri açıklayarak detaylandırdıkları envanterini,</w:t>
      </w:r>
    </w:p>
    <w:p w14:paraId="4F291D13"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Veri sorumluları sicil bilgi sistemi veya VERBİS:</w:t>
      </w:r>
      <w:r>
        <w:rPr>
          <w:rFonts w:asciiTheme="minorHAnsi" w:hAnsiTheme="minorHAnsi" w:cstheme="minorHAnsi"/>
        </w:rPr>
        <w:t xml:space="preserve"> Veri sorumlularının Sicile başvuruda üzerinden erişilebilen, Başkanlık tarafından oluşturulan ve yönetilen bilişim sistemini,</w:t>
      </w:r>
    </w:p>
    <w:p w14:paraId="774D46FA"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b/>
        </w:rPr>
        <w:t xml:space="preserve"> </w:t>
      </w:r>
    </w:p>
    <w:p w14:paraId="6C97C6A7" w14:textId="62201B79" w:rsidR="00BD5A6A" w:rsidRPr="00A93005" w:rsidRDefault="00BD5A6A" w:rsidP="004F7033">
      <w:pPr>
        <w:keepNext/>
        <w:numPr>
          <w:ilvl w:val="0"/>
          <w:numId w:val="12"/>
        </w:numPr>
        <w:spacing w:before="120" w:after="120"/>
        <w:ind w:left="284" w:right="-142" w:hanging="284"/>
        <w:contextualSpacing/>
        <w:jc w:val="both"/>
        <w:outlineLvl w:val="0"/>
        <w:rPr>
          <w:rFonts w:asciiTheme="minorHAnsi" w:hAnsiTheme="minorHAnsi" w:cstheme="minorHAnsi"/>
          <w:b/>
        </w:rPr>
      </w:pPr>
      <w:r>
        <w:rPr>
          <w:rFonts w:asciiTheme="minorHAnsi" w:hAnsiTheme="minorHAnsi" w:cstheme="minorHAnsi"/>
          <w:b/>
        </w:rPr>
        <w:t>SORUMLULAR</w:t>
      </w:r>
    </w:p>
    <w:p w14:paraId="5D4B2499" w14:textId="26C7E803" w:rsidR="00773AD7"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Şirket çalışanları, kişisel veri ile teması bulunan tedarikçiler.</w:t>
      </w:r>
    </w:p>
    <w:p w14:paraId="4C61B162" w14:textId="77777777" w:rsidR="00773AD7" w:rsidRPr="00A93005" w:rsidRDefault="00773AD7" w:rsidP="004F7033">
      <w:pPr>
        <w:spacing w:before="120" w:after="120"/>
        <w:ind w:right="-142"/>
        <w:contextualSpacing/>
        <w:jc w:val="both"/>
        <w:rPr>
          <w:rFonts w:asciiTheme="minorHAnsi" w:hAnsiTheme="minorHAnsi" w:cstheme="minorHAnsi"/>
        </w:rPr>
      </w:pPr>
    </w:p>
    <w:p w14:paraId="7F53A8BF" w14:textId="63E4F1D0" w:rsidR="00BD5A6A" w:rsidRPr="00A93005" w:rsidRDefault="00BD5A6A" w:rsidP="004F7033">
      <w:pPr>
        <w:keepNext/>
        <w:numPr>
          <w:ilvl w:val="0"/>
          <w:numId w:val="12"/>
        </w:numPr>
        <w:spacing w:before="120" w:after="120"/>
        <w:ind w:left="284" w:right="-142" w:hanging="284"/>
        <w:contextualSpacing/>
        <w:jc w:val="both"/>
        <w:outlineLvl w:val="0"/>
        <w:rPr>
          <w:rFonts w:asciiTheme="minorHAnsi" w:hAnsiTheme="minorHAnsi" w:cstheme="minorHAnsi"/>
          <w:b/>
        </w:rPr>
      </w:pPr>
      <w:r>
        <w:rPr>
          <w:rFonts w:asciiTheme="minorHAnsi" w:hAnsiTheme="minorHAnsi" w:cstheme="minorHAnsi"/>
          <w:b/>
        </w:rPr>
        <w:t>UYGULAMA</w:t>
      </w:r>
    </w:p>
    <w:p w14:paraId="477DA8DD" w14:textId="77777777" w:rsidR="00BD5A6A" w:rsidRPr="00A93005" w:rsidRDefault="00BD5A6A" w:rsidP="004F7033">
      <w:pPr>
        <w:keepNext/>
        <w:numPr>
          <w:ilvl w:val="1"/>
          <w:numId w:val="7"/>
        </w:numPr>
        <w:spacing w:before="120" w:after="120"/>
        <w:ind w:left="426" w:right="-142" w:hanging="426"/>
        <w:contextualSpacing/>
        <w:jc w:val="both"/>
        <w:outlineLvl w:val="0"/>
        <w:rPr>
          <w:rFonts w:asciiTheme="minorHAnsi" w:hAnsiTheme="minorHAnsi" w:cstheme="minorHAnsi"/>
          <w:b/>
        </w:rPr>
      </w:pPr>
      <w:r>
        <w:rPr>
          <w:rFonts w:asciiTheme="minorHAnsi" w:hAnsiTheme="minorHAnsi" w:cstheme="minorHAnsi"/>
          <w:b/>
        </w:rPr>
        <w:t>Aktarım İçin Açık Rızaların Alınması</w:t>
      </w:r>
      <w:bookmarkStart w:id="9" w:name="_Toc510515553"/>
      <w:bookmarkStart w:id="10" w:name="_Toc511390610"/>
      <w:bookmarkStart w:id="11" w:name="_Toc514412888"/>
    </w:p>
    <w:p w14:paraId="0B8DA594" w14:textId="77777777" w:rsidR="00BD5A6A" w:rsidRPr="00A93005" w:rsidRDefault="00BD5A6A" w:rsidP="004F7033">
      <w:pPr>
        <w:keepNext/>
        <w:numPr>
          <w:ilvl w:val="1"/>
          <w:numId w:val="7"/>
        </w:numPr>
        <w:spacing w:before="120" w:after="120"/>
        <w:ind w:left="426" w:right="-142" w:hanging="426"/>
        <w:contextualSpacing/>
        <w:jc w:val="both"/>
        <w:outlineLvl w:val="0"/>
        <w:rPr>
          <w:rFonts w:asciiTheme="minorHAnsi" w:hAnsiTheme="minorHAnsi" w:cstheme="minorHAnsi"/>
          <w:b/>
        </w:rPr>
      </w:pPr>
      <w:r>
        <w:rPr>
          <w:rFonts w:asciiTheme="minorHAnsi" w:hAnsiTheme="minorHAnsi" w:cstheme="minorHAnsi"/>
          <w:b/>
        </w:rPr>
        <w:t>Yurtiçinde Aktarım Yapılırken Açık Rıza Alınması</w:t>
      </w:r>
      <w:bookmarkEnd w:id="9"/>
      <w:bookmarkEnd w:id="10"/>
      <w:bookmarkEnd w:id="11"/>
    </w:p>
    <w:p w14:paraId="5415CCFF" w14:textId="77777777" w:rsidR="00BD5A6A" w:rsidRPr="00A93005" w:rsidRDefault="00BD5A6A" w:rsidP="004F7033">
      <w:pPr>
        <w:spacing w:before="120" w:after="120"/>
        <w:ind w:right="-142"/>
        <w:contextualSpacing/>
        <w:rPr>
          <w:rFonts w:asciiTheme="minorHAnsi" w:hAnsiTheme="minorHAnsi" w:cstheme="minorHAnsi"/>
        </w:rPr>
      </w:pPr>
    </w:p>
    <w:p w14:paraId="63662F3F"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Kişisel veriler, ilgili kişinin açık rızası olmaksızın aktarılamaz. Ancak kişisel veriler;</w:t>
      </w:r>
    </w:p>
    <w:p w14:paraId="622F7135" w14:textId="77777777" w:rsidR="00BD5A6A" w:rsidRPr="00A93005" w:rsidRDefault="00BD5A6A" w:rsidP="004F7033">
      <w:pPr>
        <w:pStyle w:val="ListeParagraf"/>
        <w:numPr>
          <w:ilvl w:val="0"/>
          <w:numId w:val="9"/>
        </w:numPr>
        <w:tabs>
          <w:tab w:val="left" w:pos="709"/>
        </w:tabs>
        <w:spacing w:before="120" w:after="120"/>
        <w:ind w:left="284" w:right="-142" w:hanging="142"/>
        <w:jc w:val="both"/>
        <w:rPr>
          <w:rFonts w:asciiTheme="minorHAnsi" w:hAnsiTheme="minorHAnsi" w:cstheme="minorHAnsi"/>
        </w:rPr>
      </w:pPr>
      <w:r>
        <w:rPr>
          <w:rFonts w:asciiTheme="minorHAnsi" w:hAnsiTheme="minorHAnsi" w:cstheme="minorHAnsi"/>
        </w:rPr>
        <w:t xml:space="preserve">Aşağıdaki şartlardan birinin varlığı hâlinde, </w:t>
      </w:r>
    </w:p>
    <w:p w14:paraId="7481017C"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a) Kanunlarda açıkça öngörülmesi,</w:t>
      </w:r>
    </w:p>
    <w:p w14:paraId="1422D4F5"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b) Fiili imkânsızlık nedeniyle rızasını açıklayamayacak durumda bulunan veya rızasına hukuki geçerlilik tanınmayan kişinin kendisinin ya da bir başkasının hayatı veya beden bütünlüğünün korunması için zorunlu olması,</w:t>
      </w:r>
    </w:p>
    <w:p w14:paraId="1750657E"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c) Bir sözleşmenin kurulması veya ifasıyla doğrudan doğruya ilgili olması kaydıyla, sözleşmenin taraflarına ait kişisel verilerin işlenmesinin gerekli olması,</w:t>
      </w:r>
    </w:p>
    <w:p w14:paraId="025245E1"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d) Veri sorumlusunun hukuki yükümlülüğünü yerine getirebilmesi için zorunlu olması,</w:t>
      </w:r>
    </w:p>
    <w:p w14:paraId="294F7792"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e) İlgili kişinin kendisi tarafından alenileştirilmiş olması,</w:t>
      </w:r>
    </w:p>
    <w:p w14:paraId="68AAE3AC"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f) Bir hakkın tesisi, kullanılması veya korunması için veri işlemenin zorunlu olması,</w:t>
      </w:r>
    </w:p>
    <w:p w14:paraId="7EED20D6"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lastRenderedPageBreak/>
        <w:t>g) İlgili kişinin temel hak ve özgürlüklerine zarar vermemek kaydıyla, veri sorumlusunun meşru menfaatleri için veri işlenmesinin zorunlu olması durumlarında ilgili kişinin açık rızası aranmaksızın aktarılabilir.</w:t>
      </w:r>
    </w:p>
    <w:p w14:paraId="430FAC3B" w14:textId="77777777" w:rsidR="00BD5A6A" w:rsidRPr="00A93005" w:rsidRDefault="00BD5A6A" w:rsidP="004F7033">
      <w:pPr>
        <w:pStyle w:val="ListeParagraf"/>
        <w:numPr>
          <w:ilvl w:val="0"/>
          <w:numId w:val="9"/>
        </w:numPr>
        <w:tabs>
          <w:tab w:val="left" w:pos="709"/>
        </w:tabs>
        <w:spacing w:before="120" w:after="120"/>
        <w:ind w:left="284" w:right="-142" w:hanging="142"/>
        <w:jc w:val="both"/>
        <w:rPr>
          <w:rFonts w:asciiTheme="minorHAnsi" w:hAnsiTheme="minorHAnsi" w:cstheme="minorHAnsi"/>
        </w:rPr>
      </w:pPr>
      <w:r>
        <w:rPr>
          <w:rFonts w:asciiTheme="minorHAnsi" w:hAnsiTheme="minorHAnsi" w:cstheme="minorHAnsi"/>
        </w:rPr>
        <w:t>Yeterli önlemler alınmak kaydıyla kişilerin ırkı, etnik kökeni, siyasi düşüncesi, felsefi inancı, dini, mezhebi veya diğer inançları, kılık ve kıyafeti, dernek, vakıf ya da sendika üyeliği, ceza mahkûmiyeti ve güvenlik tedbirleriyle ilgili verileri ile biyometrik ve genetik verileri gibi özel nitelikli kişisel veriler, kanunlarda öngörülen hâllerde ilgili kişinin açık rızası aranmaksızın aktarılabilir.</w:t>
      </w:r>
    </w:p>
    <w:p w14:paraId="38380037" w14:textId="77777777" w:rsidR="00BD5A6A" w:rsidRPr="00A93005" w:rsidRDefault="00BD5A6A" w:rsidP="004F7033">
      <w:pPr>
        <w:keepNext/>
        <w:numPr>
          <w:ilvl w:val="1"/>
          <w:numId w:val="7"/>
        </w:numPr>
        <w:spacing w:before="120" w:after="120"/>
        <w:ind w:left="426" w:right="-142" w:hanging="426"/>
        <w:contextualSpacing/>
        <w:jc w:val="both"/>
        <w:outlineLvl w:val="0"/>
        <w:rPr>
          <w:rFonts w:asciiTheme="minorHAnsi" w:hAnsiTheme="minorHAnsi" w:cstheme="minorHAnsi"/>
          <w:b/>
        </w:rPr>
      </w:pPr>
      <w:bookmarkStart w:id="12" w:name="_Toc514412889"/>
      <w:r>
        <w:rPr>
          <w:rFonts w:asciiTheme="minorHAnsi" w:hAnsiTheme="minorHAnsi" w:cstheme="minorHAnsi"/>
          <w:b/>
        </w:rPr>
        <w:t>Kişisel Verilerin Yurt Dışına Aktarılma Şartları</w:t>
      </w:r>
      <w:bookmarkEnd w:id="12"/>
      <w:r>
        <w:rPr>
          <w:rFonts w:asciiTheme="minorHAnsi" w:hAnsiTheme="minorHAnsi" w:cstheme="minorHAnsi"/>
          <w:b/>
        </w:rPr>
        <w:t/>
      </w:r>
    </w:p>
    <w:p w14:paraId="0BF8EA57"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bookmarkStart w:id="13" w:name="_Toc508740057"/>
      <w:r>
        <w:rPr>
          <w:rFonts w:asciiTheme="minorHAnsi" w:hAnsiTheme="minorHAnsi" w:cstheme="minorHAnsi"/>
        </w:rPr>
        <w:t>Kişisel veriler, 5. ve 6. maddelerde belirtilen şartlardan birinin varlığı ve aktarımın yapılacağı ülke, ülke içerisindeki sektörler veya uluslararası kuruluşlar hakkında yeterlilik kararı bulunması halinde, veri sorumluları ve veri işleyenler tarafından yurt dışına aktarılabilir.</w:t>
      </w:r>
    </w:p>
    <w:p w14:paraId="6742C05A" w14:textId="5AF07D91"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Yeterlilik kararı, Kurul tarafından verilir ve Resmî Gazete ’de yayımlanır. Kurul, ihtiyaç duyması halinde ilgili kurum ve kuruluşların görüşünü alır. Yeterlilik kararı, en geç dört yılda bir değerlendirilir. Kurul, değerlendirme sonucunda veya gerekli gördüğü diğer hallerde, yeterlilik kararını ileriye etkili olmak üzere değiştirebilir, askıya alabilir veya kaldırabilir.</w:t>
      </w:r>
    </w:p>
    <w:p w14:paraId="06DA381B"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Yeterlilik kararı verilirken öncelikle aşağıdaki hususlar dikkate alınır:</w:t>
      </w:r>
    </w:p>
    <w:p w14:paraId="7CA71D80" w14:textId="77777777" w:rsidR="00BD5A6A" w:rsidRPr="00A93005" w:rsidRDefault="00BD5A6A" w:rsidP="004F7033">
      <w:pPr>
        <w:pStyle w:val="ListeParagraf"/>
        <w:numPr>
          <w:ilvl w:val="0"/>
          <w:numId w:val="10"/>
        </w:numPr>
        <w:spacing w:before="120" w:after="120"/>
        <w:ind w:left="426" w:right="-142" w:hanging="426"/>
        <w:jc w:val="both"/>
        <w:rPr>
          <w:rFonts w:asciiTheme="minorHAnsi" w:hAnsiTheme="minorHAnsi" w:cstheme="minorHAnsi"/>
        </w:rPr>
      </w:pPr>
      <w:r>
        <w:rPr>
          <w:rFonts w:asciiTheme="minorHAnsi" w:hAnsiTheme="minorHAnsi" w:cstheme="minorHAnsi"/>
        </w:rPr>
        <w:t>Kişisel verilerin aktarılacağı ülke, ülke içerisindeki sektörler veya uluslararası kuruluşlar ile Türkiye arasında kişisel veri aktarımına ilişkin karşılıklılık durumu.</w:t>
      </w:r>
    </w:p>
    <w:p w14:paraId="3223B275" w14:textId="77777777" w:rsidR="00BD5A6A" w:rsidRPr="00A93005" w:rsidRDefault="00BD5A6A" w:rsidP="004F7033">
      <w:pPr>
        <w:pStyle w:val="ListeParagraf"/>
        <w:numPr>
          <w:ilvl w:val="0"/>
          <w:numId w:val="10"/>
        </w:numPr>
        <w:spacing w:before="120" w:after="120"/>
        <w:ind w:left="426" w:right="-142" w:hanging="426"/>
        <w:jc w:val="both"/>
        <w:rPr>
          <w:rFonts w:asciiTheme="minorHAnsi" w:hAnsiTheme="minorHAnsi" w:cstheme="minorHAnsi"/>
        </w:rPr>
      </w:pPr>
      <w:r>
        <w:rPr>
          <w:rFonts w:asciiTheme="minorHAnsi" w:hAnsiTheme="minorHAnsi" w:cstheme="minorHAnsi"/>
        </w:rPr>
        <w:t>Kişisel verilerin aktarılacağı ülkenin ilgili mevzuatı ve uygulaması ile kişisel verilerin aktarılacağı uluslararası kuruluşun tâbi olduğu kurallar.</w:t>
      </w:r>
    </w:p>
    <w:p w14:paraId="1E820F31" w14:textId="77777777" w:rsidR="00BD5A6A" w:rsidRPr="00A93005" w:rsidRDefault="00BD5A6A" w:rsidP="004F7033">
      <w:pPr>
        <w:pStyle w:val="ListeParagraf"/>
        <w:numPr>
          <w:ilvl w:val="0"/>
          <w:numId w:val="10"/>
        </w:numPr>
        <w:spacing w:before="120" w:after="120"/>
        <w:ind w:left="426" w:right="-142" w:hanging="426"/>
        <w:jc w:val="both"/>
        <w:rPr>
          <w:rFonts w:asciiTheme="minorHAnsi" w:hAnsiTheme="minorHAnsi" w:cstheme="minorHAnsi"/>
        </w:rPr>
      </w:pPr>
      <w:r>
        <w:rPr>
          <w:rFonts w:asciiTheme="minorHAnsi" w:hAnsiTheme="minorHAnsi" w:cstheme="minorHAnsi"/>
        </w:rPr>
        <w:t>Kişisel verilerin aktarılacağı ülkede veya uluslararası kuruluşun tâbi olduğu bağımsız ve etkin bir veri koruma kurumunun varlığı ile idari ve adli başvuru yollarının bulunması.</w:t>
      </w:r>
    </w:p>
    <w:p w14:paraId="7E8D98B9" w14:textId="77777777" w:rsidR="00BD5A6A" w:rsidRPr="00A93005" w:rsidRDefault="00BD5A6A" w:rsidP="004F7033">
      <w:pPr>
        <w:pStyle w:val="ListeParagraf"/>
        <w:numPr>
          <w:ilvl w:val="0"/>
          <w:numId w:val="10"/>
        </w:numPr>
        <w:spacing w:before="120" w:after="120"/>
        <w:ind w:left="426" w:right="-142" w:hanging="426"/>
        <w:jc w:val="both"/>
        <w:rPr>
          <w:rFonts w:asciiTheme="minorHAnsi" w:hAnsiTheme="minorHAnsi" w:cstheme="minorHAnsi"/>
        </w:rPr>
      </w:pPr>
      <w:r>
        <w:rPr>
          <w:rFonts w:asciiTheme="minorHAnsi" w:hAnsiTheme="minorHAnsi" w:cstheme="minorHAnsi"/>
        </w:rPr>
        <w:t>Kişisel verilerin aktarılacağı ülkenin veya uluslararası kuruluşun, kişisel verilerin korunmasıyla ilgili uluslararası sözleşmelere taraf veya uluslararası kuruluşlara üye olma durumu.</w:t>
      </w:r>
    </w:p>
    <w:p w14:paraId="1928EDD1" w14:textId="5AC09155" w:rsidR="00BD5A6A" w:rsidRPr="00A93005" w:rsidRDefault="00BD5A6A" w:rsidP="004F7033">
      <w:pPr>
        <w:pStyle w:val="ListeParagraf"/>
        <w:numPr>
          <w:ilvl w:val="0"/>
          <w:numId w:val="10"/>
        </w:numPr>
        <w:spacing w:before="120" w:after="120"/>
        <w:ind w:left="426" w:right="-142" w:hanging="426"/>
        <w:jc w:val="both"/>
        <w:rPr>
          <w:rFonts w:asciiTheme="minorHAnsi" w:hAnsiTheme="minorHAnsi" w:cstheme="minorHAnsi"/>
        </w:rPr>
      </w:pPr>
      <w:r>
        <w:rPr>
          <w:rFonts w:asciiTheme="minorHAnsi" w:hAnsiTheme="minorHAnsi" w:cstheme="minorHAnsi"/>
        </w:rPr>
        <w:t>Kişisel verilerin aktarılacağı ülkenin veya uluslararası kuruluşun, Türkiye’nin üye olduğu küresel veya bölgesel kuruluşlara üye olma durumu.</w:t>
      </w:r>
    </w:p>
    <w:p w14:paraId="52382119" w14:textId="77777777" w:rsidR="00BD5A6A" w:rsidRPr="00A93005" w:rsidRDefault="00BD5A6A" w:rsidP="004F7033">
      <w:pPr>
        <w:pStyle w:val="ListeParagraf"/>
        <w:numPr>
          <w:ilvl w:val="0"/>
          <w:numId w:val="10"/>
        </w:numPr>
        <w:spacing w:before="120" w:after="120"/>
        <w:ind w:left="426" w:right="-142" w:hanging="426"/>
        <w:jc w:val="both"/>
        <w:rPr>
          <w:rFonts w:asciiTheme="minorHAnsi" w:hAnsiTheme="minorHAnsi" w:cstheme="minorHAnsi"/>
        </w:rPr>
      </w:pPr>
      <w:r>
        <w:rPr>
          <w:rFonts w:asciiTheme="minorHAnsi" w:hAnsiTheme="minorHAnsi" w:cstheme="minorHAnsi"/>
        </w:rPr>
        <w:t>Türkiye’nin taraf olduğu uluslararası sözleşmeler.</w:t>
      </w:r>
    </w:p>
    <w:p w14:paraId="511687DB" w14:textId="77777777" w:rsidR="00DF6348" w:rsidRPr="00A93005" w:rsidRDefault="00DF6348" w:rsidP="004F7033">
      <w:pPr>
        <w:pStyle w:val="ListeParagraf"/>
        <w:spacing w:before="120" w:after="120"/>
        <w:ind w:left="0" w:right="-142"/>
        <w:jc w:val="both"/>
        <w:rPr>
          <w:rFonts w:asciiTheme="minorHAnsi" w:hAnsiTheme="minorHAnsi" w:cstheme="minorHAnsi"/>
        </w:rPr>
      </w:pPr>
    </w:p>
    <w:p w14:paraId="06165AD0" w14:textId="2709C837" w:rsidR="00BD5A6A" w:rsidRPr="00A93005" w:rsidRDefault="00BD5A6A" w:rsidP="004F70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right="-142"/>
        <w:contextualSpacing/>
        <w:rPr>
          <w:rFonts w:asciiTheme="minorHAnsi" w:hAnsiTheme="minorHAnsi" w:cstheme="minorHAnsi"/>
        </w:rPr>
      </w:pPr>
      <w:r>
        <w:rPr>
          <w:rFonts w:asciiTheme="minorHAnsi" w:hAnsiTheme="minorHAnsi" w:cstheme="minorHAnsi"/>
        </w:rPr>
        <w:t>Kişisel veriler, yeterlilik kararının bulunmaması durumunda, 5’inci ve 6’ncı maddelerde belirtilen şartlardan birinin varlığı, ilgili kişinin aktarımın yapılacağı ülkede de haklarını kullanma ve etkili kanun yollarına başvurma imkânının bulunması kaydıyla, aşağıda belirtilen uygun güvencelerden birinin taraflarca sağlanması halinde veri sorumluları ve veri işleyenler tarafından yurt dışına aktarılabilir:</w:t>
      </w:r>
    </w:p>
    <w:p w14:paraId="22A692EA" w14:textId="77777777" w:rsidR="00BD5A6A" w:rsidRPr="00A93005" w:rsidRDefault="00BD5A6A" w:rsidP="004F7033">
      <w:pPr>
        <w:pStyle w:val="ListeParagraf"/>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426" w:right="-142" w:hanging="426"/>
        <w:rPr>
          <w:rFonts w:asciiTheme="minorHAnsi" w:hAnsiTheme="minorHAnsi" w:cstheme="minorHAnsi"/>
        </w:rPr>
      </w:pPr>
      <w:r>
        <w:rPr>
          <w:rFonts w:asciiTheme="minorHAnsi" w:hAnsiTheme="minorHAnsi" w:cstheme="minorHAnsi"/>
        </w:rPr>
        <w:t>Yurt dışındaki kamu kurum ve kuruluşları veya uluslararası kuruluşlar ile Türkiye’deki kamu kurum ve kuruluşları veya kamu kurumu niteliğindeki meslek kuruluşları arasında yapılan uluslararası sözleşme niteliğinde olmayan anlaşmanın varlığı ve Kurul tarafından aktarıma izin verilmesi.</w:t>
      </w:r>
    </w:p>
    <w:p w14:paraId="6B5EDB12" w14:textId="77777777" w:rsidR="00BD5A6A" w:rsidRPr="00A93005" w:rsidRDefault="00BD5A6A" w:rsidP="004F7033">
      <w:pPr>
        <w:pStyle w:val="ListeParagraf"/>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426" w:right="-142" w:hanging="426"/>
        <w:rPr>
          <w:rFonts w:asciiTheme="minorHAnsi" w:hAnsiTheme="minorHAnsi" w:cstheme="minorHAnsi"/>
        </w:rPr>
      </w:pPr>
      <w:r>
        <w:rPr>
          <w:rFonts w:asciiTheme="minorHAnsi" w:hAnsiTheme="minorHAnsi" w:cstheme="minorHAnsi"/>
        </w:rPr>
        <w:t xml:space="preserve">Ortak ekonomik faaliyette bulunan teşebbüs grubu bünyesindeki şirketlerin uymakla yükümlü oldukları, kişisel verilerin korunmasına ilişkin hükümler ihtiva eden ve Kurul tarafından onaylanan bağlayıcı şirket kurallarının varlığı.</w:t>
      </w:r>
    </w:p>
    <w:p w:rsidR="00BD5A6A" w:rsidRPr="00A93005" w:rsidRDefault="00BD5A6A" w:rsidP="004F7033">
      <w:pPr>
        <w:pStyle w:val="ListeParagraf"/>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426" w:right="-142" w:hanging="426"/>
        <w:rPr>
          <w:rFonts w:asciiTheme="minorHAnsi" w:hAnsiTheme="minorHAnsi" w:cstheme="minorHAnsi"/>
        </w:rPr>
      </w:pPr>
      <w:r>
        <w:rPr>
          <w:rFonts w:asciiTheme="minorHAnsi" w:hAnsiTheme="minorHAnsi" w:cstheme="minorHAnsi"/>
        </w:rPr>
        <w:t xml:space="preserve">Kurul tarafından ilan edilen, veri kategorileri, veri aktarımının amaçları, alıcı ve alıcı grupları, veri alıcısı tarafından alınacak teknik ve idari tedbirler, özel nitelikli kişisel veriler için alınan ek önlemler gibi hususları ihtiva eden standart sözleşmenin varlığı.</w:t>
      </w:r>
    </w:p>
    <w:p w14:paraId="310726FE" w14:textId="77777777" w:rsidR="00BD5A6A" w:rsidRPr="00A93005" w:rsidRDefault="00BD5A6A" w:rsidP="004F7033">
      <w:pPr>
        <w:pStyle w:val="ListeParagraf"/>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426" w:right="-142" w:hanging="426"/>
        <w:rPr>
          <w:rFonts w:asciiTheme="minorHAnsi" w:hAnsiTheme="minorHAnsi" w:cstheme="minorHAnsi"/>
        </w:rPr>
      </w:pPr>
      <w:r>
        <w:rPr>
          <w:rFonts w:asciiTheme="minorHAnsi" w:hAnsiTheme="minorHAnsi" w:cstheme="minorHAnsi"/>
        </w:rPr>
        <w:t>Yeterli korumayı sağlayacak hükümlerin yer aldığı yazılı bir taahhütnamenin varlığı ve Kurul tarafından aktarıma izin verilmesi.</w:t>
      </w:r>
    </w:p>
    <w:p w14:paraId="7A6FB603"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Standart sözleşme, imzalanmasından itibaren beş iş günü içinde veri sorumlusu veya veri işleyen tarafından Kuruma bildirilir.</w:t>
      </w:r>
    </w:p>
    <w:p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Yeterlilik kararının bulunmaması ve uygun güvencelerden herhangi birinin sağlanamaması hâlinde kişisel veriler, yalnızca arızi olmak kaydıyla aşağıdaki hâllerden birinin varlığı durumunda yurt dışına aktarılabilir:</w:t>
      </w:r>
    </w:p>
    <w:p w:rsidR="00BD5A6A" w:rsidRPr="00A93005" w:rsidRDefault="00BD5A6A" w:rsidP="004F7033">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567" w:right="-142" w:hanging="283"/>
        <w:jc w:val="both"/>
        <w:rPr>
          <w:rFonts w:asciiTheme="minorHAnsi" w:hAnsiTheme="minorHAnsi" w:cstheme="minorHAnsi"/>
        </w:rPr>
      </w:pPr>
      <w:r>
        <w:rPr>
          <w:rFonts w:asciiTheme="minorHAnsi" w:hAnsiTheme="minorHAnsi" w:cstheme="minorHAnsi"/>
        </w:rPr>
        <w:t xml:space="preserve">a) İlgili kişinin, olası riskler hakkında bilgilendirilmesi kaydıyla, aktarıma açık rıza vermesi.</w:t>
      </w:r>
    </w:p>
    <w:p w:rsidR="00BD5A6A" w:rsidRPr="00A93005" w:rsidRDefault="00BD5A6A" w:rsidP="004F7033">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567" w:right="-142" w:hanging="283"/>
        <w:jc w:val="both"/>
        <w:rPr>
          <w:rFonts w:asciiTheme="minorHAnsi" w:hAnsiTheme="minorHAnsi" w:cstheme="minorHAnsi"/>
        </w:rPr>
      </w:pPr>
      <w:r>
        <w:rPr>
          <w:rFonts w:asciiTheme="minorHAnsi" w:hAnsiTheme="minorHAnsi" w:cstheme="minorHAnsi"/>
        </w:rPr>
        <w:t xml:space="preserve">b) Aktarımın, ilgili kişi ile veri sorumlusu arasında yapılan bir sözleşmenin ifası veya ilgili kişinin talebi üzerine alınan sözleşme öncesi tedbirlerin uygulanması için zorunlu olması.</w:t>
      </w:r>
    </w:p>
    <w:p w:rsidR="00BD5A6A" w:rsidRPr="00A93005" w:rsidRDefault="00BD5A6A" w:rsidP="004F7033">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567" w:right="-142" w:hanging="283"/>
        <w:jc w:val="both"/>
        <w:rPr>
          <w:rFonts w:asciiTheme="minorHAnsi" w:hAnsiTheme="minorHAnsi" w:cstheme="minorHAnsi"/>
        </w:rPr>
      </w:pPr>
      <w:r>
        <w:rPr>
          <w:rFonts w:asciiTheme="minorHAnsi" w:hAnsiTheme="minorHAnsi" w:cstheme="minorHAnsi"/>
        </w:rPr>
        <w:t xml:space="preserve">c) Aktarımın, ilgili kişi yararına veri sorumlusu ile diğer bir gerçek veya tüzel kişi arasında yapılacak bir sözleşmenin kurulması veya ifası için zorunlu olması.</w:t>
      </w:r>
    </w:p>
    <w:p w:rsidR="00BD5A6A" w:rsidRPr="00A93005" w:rsidRDefault="00BD5A6A" w:rsidP="004F7033">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567" w:right="-142" w:hanging="283"/>
        <w:jc w:val="both"/>
        <w:rPr>
          <w:rFonts w:asciiTheme="minorHAnsi" w:hAnsiTheme="minorHAnsi" w:cstheme="minorHAnsi"/>
        </w:rPr>
      </w:pPr>
      <w:r>
        <w:rPr>
          <w:rFonts w:asciiTheme="minorHAnsi" w:hAnsiTheme="minorHAnsi" w:cstheme="minorHAnsi"/>
        </w:rPr>
        <w:t xml:space="preserve">ç) Aktarımın üstün bir kamu yararı için zorunlu olması.</w:t>
      </w:r>
    </w:p>
    <w:p w:rsidR="00BD5A6A" w:rsidRPr="00A93005" w:rsidRDefault="00BD5A6A" w:rsidP="004F7033">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567" w:right="-142" w:hanging="283"/>
        <w:jc w:val="both"/>
        <w:rPr>
          <w:rFonts w:asciiTheme="minorHAnsi" w:hAnsiTheme="minorHAnsi" w:cstheme="minorHAnsi"/>
        </w:rPr>
      </w:pPr>
      <w:r>
        <w:rPr>
          <w:rFonts w:asciiTheme="minorHAnsi" w:hAnsiTheme="minorHAnsi" w:cstheme="minorHAnsi"/>
        </w:rPr>
        <w:t xml:space="preserve">d) Bir hakkın tesisi, kullanılması veya korunması için kişisel verilerin aktarılmasının zorunlu olması.</w:t>
      </w:r>
    </w:p>
    <w:p w:rsidR="00BD5A6A" w:rsidRPr="00A93005" w:rsidRDefault="00BD5A6A" w:rsidP="004F7033">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567" w:right="-142" w:hanging="283"/>
        <w:jc w:val="both"/>
        <w:rPr>
          <w:rFonts w:asciiTheme="minorHAnsi" w:hAnsiTheme="minorHAnsi" w:cstheme="minorHAnsi"/>
        </w:rPr>
      </w:pPr>
      <w:r>
        <w:rPr>
          <w:rFonts w:asciiTheme="minorHAnsi" w:hAnsiTheme="minorHAnsi" w:cstheme="minorHAnsi"/>
        </w:rPr>
        <w:t xml:space="preserve">e) Fiili imkânsızlık nedeniyle rızasını açıklayamayacak durumda bulunan veya rızasına hukuki geçerlilik tanınmayan kişinin kendisinin ya da bir başkasının hayatı veya beden bütünlüğünün korunması için kişisel verilerin aktarılmasının zorunlu olması.</w:t>
      </w:r>
    </w:p>
    <w:p w:rsidR="00BD5A6A" w:rsidRPr="00A93005" w:rsidRDefault="00BD5A6A" w:rsidP="004F7033">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567" w:right="-142" w:hanging="283"/>
        <w:jc w:val="both"/>
        <w:rPr>
          <w:rFonts w:asciiTheme="minorHAnsi" w:hAnsiTheme="minorHAnsi" w:cstheme="minorHAnsi"/>
        </w:rPr>
      </w:pPr>
      <w:r>
        <w:rPr>
          <w:rFonts w:asciiTheme="minorHAnsi" w:hAnsiTheme="minorHAnsi" w:cstheme="minorHAnsi"/>
        </w:rPr>
        <w:t xml:space="preserve">f) Kamuya veya meşru menfaati bulunan kişilere açık olan bir sicilden, ilgili mevzuatta sicile erişmek için gereken şartların sağlanması ve meşru menfaati bulunan kişinin talep etmesi kaydıyla aktarım yapılması.</w:t>
      </w:r>
    </w:p>
    <w:p w14:paraId="5168EFDB"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Kişisel veriler, uluslararası sözleşme hükümleri saklı kalmak üzere, Türkiye’nin veya ilgili kişinin menfaatinin ciddi bir şekilde zarar göreceği durumlarda, ancak ilgili kamu kurum veya kuruluşunun görüşü alınarak Kurulun izniyle yurt dışına aktarılabilir.</w:t>
      </w:r>
    </w:p>
    <w:p w14:paraId="41C6763B"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 xml:space="preserve"> </w:t>
      </w:r>
    </w:p>
    <w:p w14:paraId="5E1E02E0" w14:textId="7B6B4CF6" w:rsidR="00BD5A6A" w:rsidRPr="00A93005" w:rsidRDefault="00BD5A6A" w:rsidP="004F7033">
      <w:pPr>
        <w:keepNext/>
        <w:numPr>
          <w:ilvl w:val="1"/>
          <w:numId w:val="7"/>
        </w:numPr>
        <w:spacing w:before="120" w:after="120"/>
        <w:ind w:left="426" w:right="-142" w:hanging="426"/>
        <w:contextualSpacing/>
        <w:jc w:val="both"/>
        <w:outlineLvl w:val="0"/>
        <w:rPr>
          <w:rFonts w:asciiTheme="minorHAnsi" w:hAnsiTheme="minorHAnsi" w:cstheme="minorHAnsi"/>
          <w:b/>
        </w:rPr>
      </w:pPr>
      <w:r>
        <w:rPr>
          <w:rFonts w:asciiTheme="minorHAnsi" w:hAnsiTheme="minorHAnsi" w:cstheme="minorHAnsi"/>
          <w:b/>
        </w:rPr>
        <w:lastRenderedPageBreak/>
        <w:t>Kişisel Verilerin Şirket İçi Aktarım Süreci</w:t>
      </w:r>
    </w:p>
    <w:p w14:paraId="6D80D6C0" w14:textId="27D3F30B" w:rsidR="00BD5A6A" w:rsidRPr="00A93005" w:rsidRDefault="00BD5A6A" w:rsidP="004F7033">
      <w:pPr>
        <w:pStyle w:val="Style1"/>
        <w:spacing w:before="120" w:after="120" w:line="240" w:lineRule="auto"/>
        <w:ind w:right="-142"/>
        <w:contextualSpacing/>
        <w:rPr>
          <w:rFonts w:cstheme="minorHAnsi"/>
          <w:sz w:val="22"/>
          <w:szCs w:val="22"/>
          <w14:shadow w14:blurRad="0" w14:dist="0" w14:dir="0" w14:sx="0" w14:sy="0" w14:kx="0" w14:ky="0" w14:algn="none">
            <w14:srgbClr w14:val="000000"/>
          </w14:shadow>
          <w14:textOutline w14:w="0" w14:cap="rnd" w14:cmpd="sng" w14:algn="ctr">
            <w14:noFill/>
            <w14:prstDash w14:val="solid"/>
            <w14:bevel/>
          </w14:textOutline>
        </w:rPr>
      </w:pPr>
      <w:r>
        <w:rPr>
          <w:rFonts w:cstheme="minorHAnsi"/>
          <w:sz w:val="22"/>
          <w:szCs w:val="22"/>
          <w14:shadow w14:blurRad="0" w14:dist="0" w14:dir="0" w14:sx="0" w14:sy="0" w14:kx="0" w14:ky="0" w14:algn="none">
            <w14:srgbClr w14:val="000000"/>
          </w14:shadow>
          <w14:textOutline w14:w="0" w14:cap="rnd" w14:cmpd="sng" w14:algn="ctr">
            <w14:noFill/>
            <w14:prstDash w14:val="solid"/>
            <w14:bevel/>
          </w14:textOutline>
        </w:rPr>
        <w:t>Şirket çalışanları ve kişisel veri ile teması bulunan tedarikçileri tarafından “Veri Toplama, Akış ve İşleme Prosedürü” kapsamında temin edilen veriler ‘Kişisel Veri Envanteri’nde belirtildiği şekilde farklı departmanlara aktarılmaktadır.</w:t>
      </w:r>
    </w:p>
    <w:p w14:paraId="6A106F72" w14:textId="7525023E" w:rsidR="00BD5A6A" w:rsidRPr="00A93005" w:rsidRDefault="00BD5A6A" w:rsidP="004F7033">
      <w:pPr>
        <w:pStyle w:val="Style1"/>
        <w:spacing w:before="120" w:after="120" w:line="240" w:lineRule="auto"/>
        <w:ind w:right="-142"/>
        <w:contextualSpacing/>
        <w:rPr>
          <w:rFonts w:cstheme="minorHAnsi"/>
          <w:sz w:val="22"/>
          <w:szCs w:val="22"/>
          <w14:shadow w14:blurRad="0" w14:dist="0" w14:dir="0" w14:sx="0" w14:sy="0" w14:kx="0" w14:ky="0" w14:algn="none">
            <w14:srgbClr w14:val="000000"/>
          </w14:shadow>
          <w14:textOutline w14:w="0" w14:cap="rnd" w14:cmpd="sng" w14:algn="ctr">
            <w14:noFill/>
            <w14:prstDash w14:val="solid"/>
            <w14:bevel/>
          </w14:textOutline>
        </w:rPr>
      </w:pPr>
      <w:r>
        <w:rPr>
          <w:rFonts w:cstheme="minorHAnsi"/>
          <w:sz w:val="22"/>
          <w:szCs w:val="22"/>
          <w14:shadow w14:blurRad="0" w14:dist="0" w14:dir="0" w14:sx="0" w14:sy="0" w14:kx="0" w14:ky="0" w14:algn="none">
            <w14:srgbClr w14:val="000000"/>
          </w14:shadow>
          <w14:textOutline w14:w="0" w14:cap="rnd" w14:cmpd="sng" w14:algn="ctr">
            <w14:noFill/>
            <w14:prstDash w14:val="solid"/>
            <w14:bevel/>
          </w14:textOutline>
        </w:rPr>
        <w:t>Kişisel verilerin uygulamadan dışarı aktarılarak paylaşımı yalnızca kısıtlı sayıda ve yetkili personelin kontrolünde olmalıdır.</w:t>
      </w:r>
    </w:p>
    <w:p w14:paraId="13904508"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Kişisel verilerin aktarımı için veri sahibinden ve KVK Çalışma Komitesinden izin alınmalıdır.</w:t>
      </w:r>
    </w:p>
    <w:p w14:paraId="20B4FB81"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Kişisel Verilerin aktarım yetkileri yalnızca kısıtlı sayıda ve yetkili personelde bulunmalı, yetkiler yıllık olarak KVK Çalışması Komitesi tarafından gözden geçirilir.</w:t>
      </w:r>
    </w:p>
    <w:p w14:paraId="5A215529"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Şirket içinde prosedürlerin ve işleyişlerin yerine getirilmesi amacı ile departmanlar arası işlenecek veriler için müşterilerden gerekli açık rızaların sözleşmeler aracılığı ile alınmış olması gerekmektedir.</w:t>
      </w:r>
    </w:p>
    <w:p w14:paraId="0E25DBAB"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Fiziksel ya da elektronik olarak aktarılacak kişisel verilerin aktarımı sırasında, kişisel verilerin güvenliği için aktarım yapılan ortamın güvenliğinden emin olunmalıdır. Gizli (Veri envanteri listesi içerisinde yer alan özel nitelikli veriler) olarak sınıflandırılmış dokümanlar için veri aktarımı;</w:t>
      </w:r>
    </w:p>
    <w:p w14:paraId="1F255296"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E-posta içeriğinde yapılıyor ise, veriler ayrı bir doküman olarak e-postaya eklenir, doküman şifrelenir ve şifresi ayrı bir yöntemle iletilir.</w:t>
      </w:r>
    </w:p>
    <w:p w14:paraId="75DE194F"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E-posta iletisine eklenmiş bir doküman olarak yapılıyor ise, doküman şifrelenir ve şifresi ayrı bir yöntemle iletilir.</w:t>
      </w:r>
    </w:p>
    <w:p w14:paraId="647DDD37"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Fiziksel olarak yapılıyor ise, kapalı bir zarfta iletilir. </w:t>
      </w:r>
    </w:p>
    <w:p w14:paraId="4B9C6803"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Ortak alan üzerinden yapılıyor ise, ilgili ortak alana erişim yetkileri sınırlandırılır ve yetkiler periyodik olarak kontrol edilir.</w:t>
      </w:r>
    </w:p>
    <w:p w14:paraId="4A4F1D8C" w14:textId="77777777" w:rsidR="00BD5A6A" w:rsidRPr="00A93005" w:rsidRDefault="00BD5A6A" w:rsidP="004F7033">
      <w:pPr>
        <w:spacing w:before="120" w:after="120"/>
        <w:ind w:right="-142"/>
        <w:contextualSpacing/>
        <w:jc w:val="both"/>
        <w:rPr>
          <w:rFonts w:asciiTheme="minorHAnsi" w:hAnsiTheme="minorHAnsi" w:cstheme="minorHAnsi"/>
        </w:rPr>
      </w:pPr>
    </w:p>
    <w:bookmarkEnd w:id="13"/>
    <w:p w14:paraId="582D5142" w14:textId="77777777" w:rsidR="00BD5A6A" w:rsidRPr="00A93005" w:rsidRDefault="00BD5A6A" w:rsidP="004F7033">
      <w:pPr>
        <w:keepNext/>
        <w:numPr>
          <w:ilvl w:val="1"/>
          <w:numId w:val="7"/>
        </w:numPr>
        <w:spacing w:before="120" w:after="120"/>
        <w:ind w:left="426" w:right="-142" w:hanging="426"/>
        <w:contextualSpacing/>
        <w:jc w:val="both"/>
        <w:outlineLvl w:val="0"/>
        <w:rPr>
          <w:rFonts w:asciiTheme="minorHAnsi" w:hAnsiTheme="minorHAnsi" w:cstheme="minorHAnsi"/>
          <w:b/>
        </w:rPr>
      </w:pPr>
      <w:r>
        <w:rPr>
          <w:rFonts w:asciiTheme="minorHAnsi" w:hAnsiTheme="minorHAnsi" w:cstheme="minorHAnsi"/>
          <w:b/>
        </w:rPr>
        <w:t>Kişisel Verilerin Üçüncü Taraflara Aktarım Süreci</w:t>
      </w:r>
    </w:p>
    <w:p w14:paraId="75849B90" w14:textId="14BB362D"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 xml:space="preserve">Şirket çalışanları ve kişisel veri ile teması bulunan tedarikçileri tarafından “Veri Toplama, Akış ve İşleme Prosedürü” kapsamında temin edilen veriler ‘Veri Envanteri’nde belirtildiği şekilde yurt içinde farklı alanlarda hizmet veren üçüncü taraf firmalara aktarılmaktadır. </w:t>
      </w:r>
    </w:p>
    <w:p w14:paraId="7B50E66F"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Kişisel verilerin aktarımı yalnızca kısıtlı sayıda ve yetkili personelin kontrolünde olmalıdır.</w:t>
      </w:r>
    </w:p>
    <w:p w14:paraId="69A52BBB"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Kişisel verilerin aktarımı için veri sahibinden ve KVK Çalışma Komitesinden elektronik ortam kayıt altına alınacak şekilde izin alınmalıdır.</w:t>
      </w:r>
    </w:p>
    <w:p w14:paraId="008B8512"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Kişisel Verilerin aktarım yetkileri yalnızca kısıtlı sayıda ve yetkili personelde bulunmalı, yetkiler yıllık olarak KVK Çalışma Komitesi tarafından gözden geçirilir.</w:t>
      </w:r>
    </w:p>
    <w:p w14:paraId="037CB8BE"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Aktarım yapılacak üçüncü parti firma ile gizlilik sözleşmesi yapılmalıdır. Gizlilik sözleşmelerinde amaçlar, limit ve kısıtlamalar açıkça belirtilir ve tarafların sözleşmeye uyumu sağlanır.</w:t>
      </w:r>
    </w:p>
    <w:p w14:paraId="62C80326"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Aktarım yapılmadan önce hukuksal açıdan kontroller yapılmalı ve üçüncü parti firmalarla minimum sayıda bilgi paylaşılmalıdır.</w:t>
      </w:r>
    </w:p>
    <w:p w14:paraId="2E2DC1FF"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Aktarım yapılan firmanın güvenlik sistemlerine ilişkin aktarım yapıldıktan sonra denetlenmesine yönelik çalışmalar/sözleşmeler yapılmalıdır.</w:t>
      </w:r>
    </w:p>
    <w:p w14:paraId="2C783186"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Aktarım yapılan firma, aktarımı yapılan verilerden sorumludur ve farklı bir firmaya aktarım yaparken gerekli koşulları sağlayan firmalarla çalışmalı ve sözleşmeler yapmalıdır. Kontrat bitiminde tüm firmalar verileri imha etmeleri yönünde bilgilendirilir.</w:t>
      </w:r>
    </w:p>
    <w:p w14:paraId="1A10AC03"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Aktarıma ilişkin hukuksal dayanağı olan kayıtlar detaylı olarak tutulmalı ve saklanmalıdır.</w:t>
      </w:r>
    </w:p>
    <w:p w14:paraId="0CA3A9C3"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Kişisel verilerin üçüncü parti bir firmaya aktarımı yapılırken 5.1 maddesinde belirtilen koşullar dahilinde açık rıza alınmalıdır.</w:t>
      </w:r>
    </w:p>
    <w:p w14:paraId="0AEAF33B" w14:textId="77777777" w:rsidR="00BD5A6A" w:rsidRPr="00A93005" w:rsidRDefault="00BD5A6A" w:rsidP="004F7033">
      <w:pPr>
        <w:pStyle w:val="Style1"/>
        <w:spacing w:before="120" w:after="120" w:line="240" w:lineRule="auto"/>
        <w:ind w:right="-142"/>
        <w:contextualSpacing/>
        <w:rPr>
          <w:rFonts w:cstheme="minorHAnsi"/>
          <w:noProof w:val="0"/>
          <w:color w:val="auto"/>
          <w:kern w:val="0"/>
          <w:sz w:val="22"/>
          <w:szCs w:val="22"/>
          <w14:shadow w14:blurRad="0" w14:dist="0" w14:dir="0" w14:sx="0" w14:sy="0" w14:kx="0" w14:ky="0" w14:algn="none">
            <w14:srgbClr w14:val="000000"/>
          </w14:shadow>
          <w14:textOutline w14:w="0" w14:cap="rnd" w14:cmpd="sng" w14:algn="ctr">
            <w14:noFill/>
            <w14:prstDash w14:val="solid"/>
            <w14:bevel/>
          </w14:textOutline>
        </w:rPr>
      </w:pPr>
      <w:r>
        <w:rPr>
          <w:rFonts w:cstheme="minorHAnsi"/>
          <w:noProof w:val="0"/>
          <w:color w:val="auto"/>
          <w:kern w:val="0"/>
          <w:sz w:val="22"/>
          <w:szCs w:val="22"/>
          <w14:shadow w14:blurRad="0" w14:dist="0" w14:dir="0" w14:sx="0" w14:sy="0" w14:kx="0" w14:ky="0" w14:algn="none">
            <w14:srgbClr w14:val="000000"/>
          </w14:shadow>
          <w14:textOutline w14:w="0" w14:cap="rnd" w14:cmpd="sng" w14:algn="ctr">
            <w14:noFill/>
            <w14:prstDash w14:val="solid"/>
            <w14:bevel/>
          </w14:textOutline>
        </w:rPr>
        <w:t>Fiziksel ya da elektronik olarak aktarılacak kişisel verilerin aktarımı sırasında, Kişisel verilerin güvenliği için aktarım yapılan ortamın güvenliğinden emin olunmalıdır. Veri aktarımı;</w:t>
      </w:r>
    </w:p>
    <w:p w14:paraId="7748015E"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File Transfer Protocol (FTP) ile yapılıyor ise, Secure File Transfer Protocol (SFTP) kullanılmalıdır.</w:t>
      </w:r>
    </w:p>
    <w:p w14:paraId="20697227"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E-posta içeriğinde yapılıyor ise, veriler ayrı bir doküman olarak e-postaya eklenir, doküman şifrelenir ve şifresi ayrı bir yöntemle iletilir.</w:t>
      </w:r>
    </w:p>
    <w:p w14:paraId="084D1784" w14:textId="77777777" w:rsidR="00BD5A6A"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E-posta iletisine eklenmiş bir doküman olarak yapılıyor ise, doküman şifrelenir ve şifresi ayrı bir yöntemle iletilir.</w:t>
      </w:r>
    </w:p>
    <w:p w14:paraId="6AF1A9A6" w14:textId="77777777" w:rsidR="00E94780" w:rsidRDefault="00E94780" w:rsidP="00E94780">
      <w:pPr>
        <w:spacing w:before="120" w:after="120"/>
        <w:ind w:right="-142"/>
        <w:jc w:val="both"/>
        <w:rPr>
          <w:rFonts w:asciiTheme="minorHAnsi" w:hAnsiTheme="minorHAnsi" w:cstheme="minorHAnsi"/>
        </w:rPr>
      </w:pPr>
    </w:p>
    <w:p w14:paraId="1D92E225" w14:textId="77777777" w:rsidR="00E94780" w:rsidRPr="00E94780" w:rsidRDefault="00E94780" w:rsidP="00E94780">
      <w:pPr>
        <w:spacing w:before="120" w:after="120"/>
        <w:ind w:right="-142"/>
        <w:jc w:val="both"/>
        <w:rPr>
          <w:rFonts w:asciiTheme="minorHAnsi" w:hAnsiTheme="minorHAnsi" w:cstheme="minorHAnsi"/>
        </w:rPr>
      </w:pPr>
    </w:p>
    <w:p w14:paraId="5F0A3301" w14:textId="77777777" w:rsidR="00BD5A6A" w:rsidRPr="00A93005" w:rsidRDefault="00BD5A6A" w:rsidP="004F7033">
      <w:pPr>
        <w:keepNext/>
        <w:numPr>
          <w:ilvl w:val="1"/>
          <w:numId w:val="7"/>
        </w:numPr>
        <w:spacing w:before="120" w:after="120"/>
        <w:ind w:left="426" w:right="-142" w:hanging="426"/>
        <w:contextualSpacing/>
        <w:jc w:val="both"/>
        <w:outlineLvl w:val="0"/>
        <w:rPr>
          <w:rFonts w:asciiTheme="minorHAnsi" w:hAnsiTheme="minorHAnsi" w:cstheme="minorHAnsi"/>
          <w:b/>
        </w:rPr>
      </w:pPr>
      <w:r>
        <w:rPr>
          <w:rFonts w:asciiTheme="minorHAnsi" w:hAnsiTheme="minorHAnsi" w:cstheme="minorHAnsi"/>
          <w:b/>
        </w:rPr>
        <w:lastRenderedPageBreak/>
        <w:t>Kişisel Verilerin Yurtdışına Aktarım Süreci</w:t>
      </w:r>
    </w:p>
    <w:p w14:paraId="25538B7A" w14:textId="77777777" w:rsidR="00BD5A6A" w:rsidRPr="00A93005" w:rsidRDefault="00BD5A6A" w:rsidP="004F7033">
      <w:pPr>
        <w:spacing w:before="120" w:after="120"/>
        <w:ind w:right="-142"/>
        <w:contextualSpacing/>
        <w:rPr>
          <w:rFonts w:asciiTheme="minorHAnsi" w:hAnsiTheme="minorHAnsi" w:cstheme="minorHAnsi"/>
        </w:rPr>
      </w:pPr>
    </w:p>
    <w:p w14:paraId="111A8032" w14:textId="1DF55729" w:rsidR="00BD5A6A" w:rsidRPr="00A93005" w:rsidRDefault="004F7033" w:rsidP="004F7033">
      <w:pPr>
        <w:spacing w:before="120" w:after="120"/>
        <w:ind w:right="-142"/>
        <w:contextualSpacing/>
        <w:jc w:val="both"/>
        <w:rPr>
          <w:rFonts w:asciiTheme="minorHAnsi" w:hAnsiTheme="minorHAnsi" w:cstheme="minorHAnsi"/>
        </w:rPr>
      </w:pPr>
      <w:r>
        <w:rPr>
          <w:rFonts w:asciiTheme="minorHAnsi" w:hAnsiTheme="minorHAnsi" w:cstheme="minorHAnsi"/>
        </w:rPr>
        <w:t xml:space="preserve">NUUP Hotel tarafından “Veri Toplama, Akış ve İşleme Prosedürü” kapsamında temin edilen kişisel veriler, Veri Envanteri’nde belirtildiği şekilde, sunucuları yurt dışında bulunan bazı hizmet sağlayıcıların sistemlerine aktarılabilmekte ve bu sistemlerde saklanabilmektedir.</w:t>
      </w:r>
    </w:p>
    <w:p w14:paraId="6E495B2C" w14:textId="2E527B3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Kişisel verilerin yurt dışına aktarımı yalnızca kısıtlı sayıda ve yetkili personelin kontrolündedir.</w:t>
      </w:r>
    </w:p>
    <w:p w14:paraId="0F3B9030"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Kişisel verilerin yurt dışına aktarımı öncesinde KVK Çalışma Komitesinin onayı, elektronik ortamda kayıt altına alınacak şekilde alınmalıdır.</w:t>
      </w:r>
    </w:p>
    <w:p w14:paraId="7B1735CF"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Kişisel Verilerin aktarım yetkileri yalnızca kısıtlı sayıda ve yetkili personelde bulunur, yetkiler yıllık olarak KVK Çalışması Komitesi tarafından gözden geçirilir.</w:t>
      </w:r>
    </w:p>
    <w:p w14:paraId="44784521"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Yurt dışına aktarım, öncelikle yeterlilik kararına; yeterlilik kararı bulunmaması hâlinde Kurul tarafından ilan edilen standart sözleşme başta olmak üzere uygun güvencelerden birine dayanılarak yapılır. Açık rıza, yalnızca arızi nitelikteki aktarımlarda ve ilgili kişinin olası riskler hakkında bilgilendirilmesi şartıyla başvurulabilecek bir istisnadır.</w:t>
      </w:r>
    </w:p>
    <w:p w14:paraId="5500D170"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Aktarıma ilişkin hukuksal dayanağı olan kayıtlar detaylı olarak tutulmalı ve saklanmalıdır.</w:t>
      </w:r>
    </w:p>
    <w:p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İmzalanan standart sözleşmeler, imza tarihinden itibaren beş iş günü içinde Kişisel Verileri Koruma Kurumu’na bildirilir ve bildirim kayıtları saklanır.</w:t>
      </w:r>
    </w:p>
    <w:p w14:paraId="22E793F3"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Kişisel verilerin yurt dışına aktarımı yapılırken;</w:t>
      </w:r>
    </w:p>
    <w:p w14:paraId="29238CEC"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Kişisel verilerin korunması için sözleşmeler yapılır ve Gizlilik sözleşmelerinde amaçlar, limit ve kısıtlamalar açıkça belirtilir ve tarafların sözleşmeye uyumunun sağlanması,</w:t>
      </w:r>
    </w:p>
    <w:p w14:paraId="53E203B0"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Aktarım yapılacak ülkenin fiziki konumu ve güvenlik şartlarının değerlendirilmesi,</w:t>
      </w:r>
    </w:p>
    <w:p w14:paraId="20B45B7E"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Farklı bir kuruma aktarılıyorsa, diğer kurumunda verileri işlerken gerekli özeni gösterdiğinden emin olunması,</w:t>
      </w:r>
    </w:p>
    <w:p w14:paraId="4226C179"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Kurumun bağlı olduğu kurum veya kuruluşların değerlendirilmesi gerekmektedir.</w:t>
      </w:r>
    </w:p>
    <w:p w14:paraId="63D90A7C"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Fiziksel ya da elektronik olarak aktarılacak kişisel verilerin aktarımı sırasında, Kişisel verilerin güvenliği için aktarım yapılan ortamın güvenliğinden emin olunmalıdır. Veri aktarımı;</w:t>
      </w:r>
    </w:p>
    <w:p w14:paraId="1874147C"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File Transfer Protocol (FTP) ile yapılıyor ise, Secure File Transfer Protocol (SFTP) kullanılmalıdır.</w:t>
      </w:r>
    </w:p>
    <w:p w14:paraId="38429FEE"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E-posta içeriğinde yapılıyor ise, veriler ayrı bir doküman olarak e-postaya eklenir, doküman şifrelenir ve şifresi ayrı bir şekilde iletilir.</w:t>
      </w:r>
    </w:p>
    <w:p w14:paraId="6EFE40DB" w14:textId="77777777" w:rsidR="00BD5A6A" w:rsidRPr="00A93005"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E-posta iletisine eklenmiş bir doküman olarak yapılıyor ise, doküman şifrelenir ve şifresi ayrı bir şekilde iletilir.</w:t>
      </w:r>
    </w:p>
    <w:p w14:paraId="5DE9CEBB" w14:textId="77777777" w:rsidR="00BD5A6A" w:rsidRPr="00A93005" w:rsidRDefault="00BD5A6A" w:rsidP="004F7033">
      <w:pPr>
        <w:keepNext/>
        <w:numPr>
          <w:ilvl w:val="1"/>
          <w:numId w:val="7"/>
        </w:numPr>
        <w:spacing w:before="120" w:after="120"/>
        <w:ind w:left="426" w:right="-142" w:hanging="426"/>
        <w:contextualSpacing/>
        <w:jc w:val="both"/>
        <w:outlineLvl w:val="0"/>
        <w:rPr>
          <w:rFonts w:asciiTheme="minorHAnsi" w:hAnsiTheme="minorHAnsi" w:cstheme="minorHAnsi"/>
          <w:b/>
        </w:rPr>
      </w:pPr>
      <w:r>
        <w:rPr>
          <w:rFonts w:asciiTheme="minorHAnsi" w:hAnsiTheme="minorHAnsi" w:cstheme="minorHAnsi"/>
          <w:b/>
        </w:rPr>
        <w:t>Referanslar</w:t>
      </w:r>
    </w:p>
    <w:p w14:paraId="245A7C36" w14:textId="77777777" w:rsidR="00773AD7" w:rsidRDefault="00BD5A6A" w:rsidP="004F7033">
      <w:pPr>
        <w:pStyle w:val="ListeParagraf"/>
        <w:numPr>
          <w:ilvl w:val="0"/>
          <w:numId w:val="8"/>
        </w:numPr>
        <w:spacing w:before="120" w:after="120"/>
        <w:ind w:left="284" w:right="-142" w:hanging="283"/>
        <w:jc w:val="both"/>
        <w:rPr>
          <w:rFonts w:asciiTheme="minorHAnsi" w:hAnsiTheme="minorHAnsi" w:cstheme="minorHAnsi"/>
        </w:rPr>
      </w:pPr>
      <w:r>
        <w:rPr>
          <w:rFonts w:asciiTheme="minorHAnsi" w:hAnsiTheme="minorHAnsi" w:cstheme="minorHAnsi"/>
        </w:rPr>
        <w:t xml:space="preserve">6698 Sayılı Kişisel Verilerin Korunması Kanunu </w:t>
      </w:r>
    </w:p>
    <w:p w14:paraId="1B024146" w14:textId="77777777" w:rsidR="00E94780" w:rsidRPr="00A93005" w:rsidRDefault="00E94780" w:rsidP="00E94780">
      <w:pPr>
        <w:pStyle w:val="ListeParagraf"/>
        <w:spacing w:before="120" w:after="120"/>
        <w:ind w:left="284" w:right="-142"/>
        <w:jc w:val="both"/>
        <w:rPr>
          <w:rFonts w:asciiTheme="minorHAnsi" w:hAnsiTheme="minorHAnsi" w:cstheme="minorHAnsi"/>
        </w:rPr>
      </w:pPr>
    </w:p>
    <w:p w14:paraId="61912511" w14:textId="03A226D0" w:rsidR="00BD5A6A" w:rsidRPr="00A93005" w:rsidRDefault="00BD5A6A" w:rsidP="004F7033">
      <w:pPr>
        <w:pStyle w:val="ListeParagraf"/>
        <w:spacing w:before="120" w:after="120"/>
        <w:ind w:left="0" w:right="-142"/>
        <w:rPr>
          <w:rFonts w:asciiTheme="minorHAnsi" w:hAnsiTheme="minorHAnsi" w:cstheme="minorHAnsi"/>
        </w:rPr>
      </w:pPr>
      <w:r>
        <w:rPr>
          <w:rFonts w:asciiTheme="minorHAnsi" w:hAnsiTheme="minorHAnsi" w:cstheme="minorHAnsi"/>
        </w:rPr>
        <w:t xml:space="preserve">Yukarıda sıralanan haklarınıza yönelik başvurularınızı, </w:t>
      </w:r>
      <w:hyperlink r:id="rId7" w:history="1">
        <w:r>
          <w:rPr>
            <w:rStyle w:val="Kpr"/>
            <w:rFonts w:asciiTheme="minorHAnsi" w:eastAsiaTheme="majorEastAsia" w:hAnsiTheme="minorHAnsi" w:cstheme="minorHAnsi"/>
            <w:noProof/>
          </w:rPr>
          <w:t>www.nuup.com.tr</w:t>
        </w:r>
      </w:hyperlink>
      <w:r>
        <w:rPr>
          <w:rFonts w:asciiTheme="minorHAnsi" w:hAnsiTheme="minorHAnsi" w:cstheme="minorHAnsi"/>
        </w:rPr>
        <w:t xml:space="preserve"> adresinden ulaşabileceğiniz İlgili Kişi Başvuru Formu’nu doldurarak Şirketimize iletebilirsiniz. Talebinizin niteliğine göre en kısa sürede ve en geç otuz gün içinde başvurularınız ücretsiz olarak sonuçlandırılacaktır; ancak işlemin ayrıca bir maliyet gerektirmesi halinde Kişisel Verileri Koruma Kurulu tarafından belirlenecek tarifeye göre tarafınızdan ücret talep edilebilecektir.</w:t>
      </w:r>
    </w:p>
    <w:p w14:paraId="3120A434" w14:textId="77777777" w:rsidR="00773AD7" w:rsidRPr="00A93005" w:rsidRDefault="00773AD7" w:rsidP="004F7033">
      <w:pPr>
        <w:pStyle w:val="ListeParagraf"/>
        <w:spacing w:before="120" w:after="120"/>
        <w:ind w:left="0" w:right="-142"/>
        <w:rPr>
          <w:rFonts w:asciiTheme="minorHAnsi" w:hAnsiTheme="minorHAnsi" w:cstheme="minorHAnsi"/>
        </w:rPr>
      </w:pPr>
    </w:p>
    <w:p w14:paraId="1847FA02"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Ad-Soyad:</w:t>
      </w:r>
    </w:p>
    <w:p w14:paraId="1C4EE9BB"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Tarih:</w:t>
      </w:r>
    </w:p>
    <w:p w14:paraId="1A697DF5" w14:textId="77777777" w:rsidR="00BD5A6A" w:rsidRPr="00A93005" w:rsidRDefault="00BD5A6A" w:rsidP="004F7033">
      <w:pPr>
        <w:spacing w:before="120" w:after="120"/>
        <w:ind w:right="-142"/>
        <w:contextualSpacing/>
        <w:jc w:val="both"/>
        <w:rPr>
          <w:rFonts w:asciiTheme="minorHAnsi" w:hAnsiTheme="minorHAnsi" w:cstheme="minorHAnsi"/>
        </w:rPr>
      </w:pPr>
      <w:r>
        <w:rPr>
          <w:rFonts w:asciiTheme="minorHAnsi" w:hAnsiTheme="minorHAnsi" w:cstheme="minorHAnsi"/>
        </w:rPr>
        <w:t>İmza:</w:t>
      </w:r>
    </w:p>
    <w:p w14:paraId="13EB3372" w14:textId="77777777" w:rsidR="002F3763" w:rsidRDefault="002F3763" w:rsidP="004F7033">
      <w:pPr>
        <w:spacing w:before="120" w:after="120"/>
        <w:ind w:right="-142"/>
        <w:contextualSpacing/>
      </w:pPr>
    </w:p>
    <w:sectPr w:rsidR="002F3763" w:rsidSect="004F7033">
      <w:headerReference w:type="even" r:id="rId8"/>
      <w:footerReference w:type="default" r:id="rId9"/>
      <w:pgSz w:w="11906" w:h="16838"/>
      <w:pgMar w:top="851" w:right="849" w:bottom="851" w:left="851" w:header="709" w:footer="3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4DE70" w14:textId="77777777" w:rsidR="00365FE3" w:rsidRDefault="00365FE3">
      <w:r>
        <w:separator/>
      </w:r>
    </w:p>
  </w:endnote>
  <w:endnote w:type="continuationSeparator" w:id="0">
    <w:p w14:paraId="16882B68" w14:textId="77777777" w:rsidR="00365FE3" w:rsidRDefault="00365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5ED0" w14:textId="0223F83D" w:rsidR="00BD5A6A" w:rsidRPr="005D69C3" w:rsidRDefault="00BD5A6A" w:rsidP="00920D98">
    <w:pPr>
      <w:pStyle w:val="AltBilgi"/>
      <w:jc w:val="center"/>
      <w:rPr>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F7A6E" w14:textId="77777777" w:rsidR="00365FE3" w:rsidRDefault="00365FE3">
      <w:r>
        <w:separator/>
      </w:r>
    </w:p>
  </w:footnote>
  <w:footnote w:type="continuationSeparator" w:id="0">
    <w:p w14:paraId="54FDBCE7" w14:textId="77777777" w:rsidR="00365FE3" w:rsidRDefault="00365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0104" w14:textId="77777777" w:rsidR="00BD5A6A" w:rsidRDefault="00BD5A6A">
    <w:pPr>
      <w:pStyle w:val="stBilgi"/>
      <w:framePr w:wrap="around" w:vAnchor="text" w:hAnchor="margin" w:xAlign="right" w:y="1"/>
      <w:rPr>
        <w:rStyle w:val="SayfaNumaras"/>
        <w:rFonts w:eastAsiaTheme="majorEastAsia"/>
      </w:rPr>
    </w:pPr>
    <w:r>
      <w:rPr>
        <w:rStyle w:val="SayfaNumaras"/>
        <w:rFonts w:eastAsiaTheme="majorEastAsia"/>
      </w:rPr>
      <w:fldChar w:fldCharType="begin"/>
    </w:r>
    <w:r>
      <w:rPr>
        <w:rStyle w:val="SayfaNumaras"/>
        <w:rFonts w:eastAsiaTheme="majorEastAsia"/>
      </w:rPr>
      <w:instrText xml:space="preserve">PAGE  </w:instrText>
    </w:r>
    <w:r>
      <w:rPr>
        <w:rStyle w:val="SayfaNumaras"/>
        <w:rFonts w:eastAsiaTheme="majorEastAsia"/>
      </w:rPr>
      <w:fldChar w:fldCharType="separate"/>
    </w:r>
    <w:r>
      <w:rPr>
        <w:rStyle w:val="SayfaNumaras"/>
        <w:rFonts w:eastAsiaTheme="majorEastAsia"/>
        <w:noProof/>
      </w:rPr>
      <w:t>0</w:t>
    </w:r>
    <w:r>
      <w:rPr>
        <w:rStyle w:val="SayfaNumaras"/>
        <w:rFonts w:eastAsiaTheme="majorEastAsia"/>
      </w:rPr>
      <w:fldChar w:fldCharType="end"/>
    </w:r>
  </w:p>
  <w:p w14:paraId="5578CFC4" w14:textId="77777777" w:rsidR="00BD5A6A" w:rsidRDefault="00BD5A6A">
    <w:pPr>
      <w:pStyle w:val="stBilgi"/>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DCC"/>
    <w:multiLevelType w:val="hybridMultilevel"/>
    <w:tmpl w:val="50D09EA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8010752"/>
    <w:multiLevelType w:val="hybridMultilevel"/>
    <w:tmpl w:val="2468355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791E20"/>
    <w:multiLevelType w:val="hybridMultilevel"/>
    <w:tmpl w:val="C53E6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EF3978"/>
    <w:multiLevelType w:val="hybridMultilevel"/>
    <w:tmpl w:val="37A04CE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4585997"/>
    <w:multiLevelType w:val="multilevel"/>
    <w:tmpl w:val="1EC24BA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38A973F1"/>
    <w:multiLevelType w:val="hybridMultilevel"/>
    <w:tmpl w:val="9B442FA6"/>
    <w:lvl w:ilvl="0" w:tplc="6BA4E234">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CA95ACE"/>
    <w:multiLevelType w:val="hybridMultilevel"/>
    <w:tmpl w:val="B09C01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70E0D13"/>
    <w:multiLevelType w:val="multilevel"/>
    <w:tmpl w:val="87F2EA4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B5B016B"/>
    <w:multiLevelType w:val="hybridMultilevel"/>
    <w:tmpl w:val="4BD8050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9" w15:restartNumberingAfterBreak="0">
    <w:nsid w:val="5CA43A3B"/>
    <w:multiLevelType w:val="multilevel"/>
    <w:tmpl w:val="59C40A96"/>
    <w:lvl w:ilvl="0">
      <w:start w:val="1"/>
      <w:numFmt w:val="lowerLetter"/>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33408E8"/>
    <w:multiLevelType w:val="hybridMultilevel"/>
    <w:tmpl w:val="17A0967E"/>
    <w:lvl w:ilvl="0" w:tplc="041F0013">
      <w:start w:val="1"/>
      <w:numFmt w:val="upperRoman"/>
      <w:lvlText w:val="%1."/>
      <w:lvlJc w:val="righ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69E95C2B"/>
    <w:multiLevelType w:val="multilevel"/>
    <w:tmpl w:val="363E54E2"/>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FAC4F64"/>
    <w:multiLevelType w:val="hybridMultilevel"/>
    <w:tmpl w:val="F69EC1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5920880">
    <w:abstractNumId w:val="9"/>
  </w:num>
  <w:num w:numId="2" w16cid:durableId="1242519461">
    <w:abstractNumId w:val="2"/>
  </w:num>
  <w:num w:numId="3" w16cid:durableId="1099326349">
    <w:abstractNumId w:val="4"/>
  </w:num>
  <w:num w:numId="4" w16cid:durableId="394593788">
    <w:abstractNumId w:val="7"/>
  </w:num>
  <w:num w:numId="5" w16cid:durableId="1576158565">
    <w:abstractNumId w:val="0"/>
  </w:num>
  <w:num w:numId="6" w16cid:durableId="410590860">
    <w:abstractNumId w:val="5"/>
  </w:num>
  <w:num w:numId="7" w16cid:durableId="1903910564">
    <w:abstractNumId w:val="11"/>
  </w:num>
  <w:num w:numId="8" w16cid:durableId="73213062">
    <w:abstractNumId w:val="8"/>
  </w:num>
  <w:num w:numId="9" w16cid:durableId="776875746">
    <w:abstractNumId w:val="10"/>
  </w:num>
  <w:num w:numId="10" w16cid:durableId="296448481">
    <w:abstractNumId w:val="3"/>
  </w:num>
  <w:num w:numId="11" w16cid:durableId="1483741035">
    <w:abstractNumId w:val="1"/>
  </w:num>
  <w:num w:numId="12" w16cid:durableId="1708027057">
    <w:abstractNumId w:val="12"/>
  </w:num>
  <w:num w:numId="13" w16cid:durableId="16464720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938"/>
    <w:rsid w:val="000C1707"/>
    <w:rsid w:val="000F7FBA"/>
    <w:rsid w:val="00185F32"/>
    <w:rsid w:val="00203938"/>
    <w:rsid w:val="002507C1"/>
    <w:rsid w:val="002F3763"/>
    <w:rsid w:val="00313E1A"/>
    <w:rsid w:val="00352966"/>
    <w:rsid w:val="00365FE3"/>
    <w:rsid w:val="00487D53"/>
    <w:rsid w:val="004C3B53"/>
    <w:rsid w:val="004F7033"/>
    <w:rsid w:val="005B1045"/>
    <w:rsid w:val="006850EB"/>
    <w:rsid w:val="00773AD7"/>
    <w:rsid w:val="008201FD"/>
    <w:rsid w:val="00891DB8"/>
    <w:rsid w:val="008B1CC3"/>
    <w:rsid w:val="008D3B84"/>
    <w:rsid w:val="00A4742F"/>
    <w:rsid w:val="00A93005"/>
    <w:rsid w:val="00AB5BD5"/>
    <w:rsid w:val="00BB07A2"/>
    <w:rsid w:val="00BD5A6A"/>
    <w:rsid w:val="00C12759"/>
    <w:rsid w:val="00D64834"/>
    <w:rsid w:val="00DD1DC6"/>
    <w:rsid w:val="00DF6348"/>
    <w:rsid w:val="00E20815"/>
    <w:rsid w:val="00E93AB0"/>
    <w:rsid w:val="00E94780"/>
    <w:rsid w:val="00F042AA"/>
    <w:rsid w:val="00F82C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60365"/>
  <w15:chartTrackingRefBased/>
  <w15:docId w15:val="{C2DF36D9-686F-454D-A3C8-FDA7D0FA1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6A"/>
    <w:pPr>
      <w:spacing w:after="0" w:line="240" w:lineRule="auto"/>
    </w:pPr>
    <w:rPr>
      <w:rFonts w:ascii="Calibri" w:eastAsia="Times New Roman" w:hAnsi="Calibri" w:cs="Times New Roman"/>
      <w:kern w:val="0"/>
      <w:lang w:eastAsia="tr-TR"/>
      <w14:ligatures w14:val="none"/>
    </w:rPr>
  </w:style>
  <w:style w:type="paragraph" w:styleId="Balk1">
    <w:name w:val="heading 1"/>
    <w:basedOn w:val="Normal"/>
    <w:next w:val="Normal"/>
    <w:link w:val="Balk1Char"/>
    <w:uiPriority w:val="9"/>
    <w:qFormat/>
    <w:rsid w:val="002039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039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0393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0393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0393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03938"/>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03938"/>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03938"/>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03938"/>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0393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0393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0393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0393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0393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0393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0393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0393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03938"/>
    <w:rPr>
      <w:rFonts w:eastAsiaTheme="majorEastAsia" w:cstheme="majorBidi"/>
      <w:color w:val="272727" w:themeColor="text1" w:themeTint="D8"/>
    </w:rPr>
  </w:style>
  <w:style w:type="paragraph" w:styleId="KonuBal">
    <w:name w:val="Title"/>
    <w:basedOn w:val="Normal"/>
    <w:next w:val="Normal"/>
    <w:link w:val="KonuBalChar"/>
    <w:uiPriority w:val="10"/>
    <w:qFormat/>
    <w:rsid w:val="00203938"/>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0393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0393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0393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0393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03938"/>
    <w:rPr>
      <w:i/>
      <w:iCs/>
      <w:color w:val="404040" w:themeColor="text1" w:themeTint="BF"/>
    </w:rPr>
  </w:style>
  <w:style w:type="paragraph" w:styleId="ListeParagraf">
    <w:name w:val="List Paragraph"/>
    <w:aliases w:val="AK List num"/>
    <w:basedOn w:val="Normal"/>
    <w:link w:val="ListeParagrafChar"/>
    <w:uiPriority w:val="34"/>
    <w:qFormat/>
    <w:rsid w:val="00203938"/>
    <w:pPr>
      <w:ind w:left="720"/>
      <w:contextualSpacing/>
    </w:pPr>
  </w:style>
  <w:style w:type="character" w:styleId="GlVurgulama">
    <w:name w:val="Intense Emphasis"/>
    <w:basedOn w:val="VarsaylanParagrafYazTipi"/>
    <w:uiPriority w:val="21"/>
    <w:qFormat/>
    <w:rsid w:val="00203938"/>
    <w:rPr>
      <w:i/>
      <w:iCs/>
      <w:color w:val="2F5496" w:themeColor="accent1" w:themeShade="BF"/>
    </w:rPr>
  </w:style>
  <w:style w:type="paragraph" w:styleId="GlAlnt">
    <w:name w:val="Intense Quote"/>
    <w:basedOn w:val="Normal"/>
    <w:next w:val="Normal"/>
    <w:link w:val="GlAlntChar"/>
    <w:uiPriority w:val="30"/>
    <w:qFormat/>
    <w:rsid w:val="002039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03938"/>
    <w:rPr>
      <w:i/>
      <w:iCs/>
      <w:color w:val="2F5496" w:themeColor="accent1" w:themeShade="BF"/>
    </w:rPr>
  </w:style>
  <w:style w:type="character" w:styleId="GlBavuru">
    <w:name w:val="Intense Reference"/>
    <w:basedOn w:val="VarsaylanParagrafYazTipi"/>
    <w:uiPriority w:val="32"/>
    <w:qFormat/>
    <w:rsid w:val="00203938"/>
    <w:rPr>
      <w:b/>
      <w:bCs/>
      <w:smallCaps/>
      <w:color w:val="2F5496" w:themeColor="accent1" w:themeShade="BF"/>
      <w:spacing w:val="5"/>
    </w:rPr>
  </w:style>
  <w:style w:type="paragraph" w:styleId="stBilgi">
    <w:name w:val="header"/>
    <w:basedOn w:val="Normal"/>
    <w:link w:val="stBilgiChar"/>
    <w:uiPriority w:val="99"/>
    <w:rsid w:val="00BD5A6A"/>
    <w:pPr>
      <w:tabs>
        <w:tab w:val="center" w:pos="4536"/>
        <w:tab w:val="right" w:pos="9072"/>
      </w:tabs>
    </w:pPr>
  </w:style>
  <w:style w:type="character" w:customStyle="1" w:styleId="stBilgiChar">
    <w:name w:val="Üst Bilgi Char"/>
    <w:basedOn w:val="VarsaylanParagrafYazTipi"/>
    <w:link w:val="stBilgi"/>
    <w:uiPriority w:val="99"/>
    <w:rsid w:val="00BD5A6A"/>
    <w:rPr>
      <w:rFonts w:ascii="Calibri" w:eastAsia="Times New Roman" w:hAnsi="Calibri" w:cs="Times New Roman"/>
      <w:kern w:val="0"/>
      <w:sz w:val="24"/>
      <w:szCs w:val="20"/>
      <w:lang w:eastAsia="tr-TR"/>
      <w14:ligatures w14:val="none"/>
    </w:rPr>
  </w:style>
  <w:style w:type="paragraph" w:styleId="AltBilgi">
    <w:name w:val="footer"/>
    <w:basedOn w:val="Normal"/>
    <w:link w:val="AltBilgiChar"/>
    <w:rsid w:val="00BD5A6A"/>
    <w:pPr>
      <w:tabs>
        <w:tab w:val="center" w:pos="4536"/>
        <w:tab w:val="right" w:pos="9072"/>
      </w:tabs>
    </w:pPr>
  </w:style>
  <w:style w:type="character" w:customStyle="1" w:styleId="AltBilgiChar">
    <w:name w:val="Alt Bilgi Char"/>
    <w:basedOn w:val="VarsaylanParagrafYazTipi"/>
    <w:link w:val="AltBilgi"/>
    <w:rsid w:val="00BD5A6A"/>
    <w:rPr>
      <w:rFonts w:ascii="Calibri" w:eastAsia="Times New Roman" w:hAnsi="Calibri" w:cs="Times New Roman"/>
      <w:kern w:val="0"/>
      <w:sz w:val="24"/>
      <w:szCs w:val="20"/>
      <w:lang w:eastAsia="tr-TR"/>
      <w14:ligatures w14:val="none"/>
    </w:rPr>
  </w:style>
  <w:style w:type="character" w:styleId="SayfaNumaras">
    <w:name w:val="page number"/>
    <w:basedOn w:val="VarsaylanParagrafYazTipi"/>
    <w:rsid w:val="00BD5A6A"/>
  </w:style>
  <w:style w:type="paragraph" w:customStyle="1" w:styleId="KlavuzTablo31">
    <w:name w:val="Kılavuz Tablo 31"/>
    <w:basedOn w:val="Balk1"/>
    <w:next w:val="Normal"/>
    <w:uiPriority w:val="39"/>
    <w:unhideWhenUsed/>
    <w:qFormat/>
    <w:rsid w:val="00BD5A6A"/>
    <w:pPr>
      <w:spacing w:before="480" w:after="0" w:line="276" w:lineRule="auto"/>
      <w:outlineLvl w:val="9"/>
    </w:pPr>
    <w:rPr>
      <w:rFonts w:ascii="Calibri Light" w:eastAsia="Times New Roman" w:hAnsi="Calibri Light" w:cs="Times New Roman"/>
      <w:b/>
      <w:bCs/>
      <w:color w:val="2E74B5"/>
      <w:sz w:val="28"/>
      <w:szCs w:val="28"/>
    </w:rPr>
  </w:style>
  <w:style w:type="character" w:styleId="Kpr">
    <w:name w:val="Hyperlink"/>
    <w:uiPriority w:val="99"/>
    <w:unhideWhenUsed/>
    <w:rsid w:val="00BD5A6A"/>
    <w:rPr>
      <w:color w:val="0563C1"/>
      <w:u w:val="single"/>
    </w:rPr>
  </w:style>
  <w:style w:type="character" w:customStyle="1" w:styleId="ListeParagrafChar">
    <w:name w:val="Liste Paragraf Char"/>
    <w:aliases w:val="AK List num Char"/>
    <w:link w:val="ListeParagraf"/>
    <w:uiPriority w:val="34"/>
    <w:qFormat/>
    <w:rsid w:val="00BD5A6A"/>
  </w:style>
  <w:style w:type="paragraph" w:customStyle="1" w:styleId="Style1">
    <w:name w:val="Style1"/>
    <w:basedOn w:val="Balk1"/>
    <w:link w:val="Style1Char"/>
    <w:autoRedefine/>
    <w:qFormat/>
    <w:rsid w:val="000C1707"/>
    <w:pPr>
      <w:keepLines w:val="0"/>
      <w:spacing w:before="0" w:after="0" w:line="276" w:lineRule="auto"/>
      <w:ind w:right="142"/>
      <w:jc w:val="both"/>
    </w:pPr>
    <w:rPr>
      <w:rFonts w:asciiTheme="minorHAnsi" w:eastAsia="Times New Roman" w:hAnsiTheme="minorHAnsi" w:cs="Arial"/>
      <w:noProof/>
      <w:color w:val="000000" w:themeColor="text1"/>
      <w:kern w:val="28"/>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Style1Char">
    <w:name w:val="Style1 Char"/>
    <w:basedOn w:val="Balk1Char"/>
    <w:link w:val="Style1"/>
    <w:rsid w:val="000C1707"/>
    <w:rPr>
      <w:rFonts w:asciiTheme="majorHAnsi" w:eastAsia="Times New Roman" w:hAnsiTheme="majorHAnsi" w:cs="Arial"/>
      <w:noProof/>
      <w:color w:val="000000" w:themeColor="text1"/>
      <w:kern w:val="28"/>
      <w:sz w:val="24"/>
      <w:szCs w:val="24"/>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style>
  <w:style w:type="character" w:styleId="zlenenKpr">
    <w:name w:val="FollowedHyperlink"/>
    <w:basedOn w:val="VarsaylanParagrafYazTipi"/>
    <w:uiPriority w:val="99"/>
    <w:semiHidden/>
    <w:unhideWhenUsed/>
    <w:rsid w:val="00E93AB0"/>
    <w:rPr>
      <w:color w:val="954F72" w:themeColor="followedHyperlink"/>
      <w:u w:val="single"/>
    </w:rPr>
  </w:style>
  <w:style w:type="character" w:styleId="zmlenmeyenBahsetme">
    <w:name w:val="Unresolved Mention"/>
    <w:basedOn w:val="VarsaylanParagrafYazTipi"/>
    <w:uiPriority w:val="99"/>
    <w:semiHidden/>
    <w:unhideWhenUsed/>
    <w:rsid w:val="004F70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uup.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2171</Words>
  <Characters>12381</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Bilgen</dc:creator>
  <cp:keywords/>
  <dc:description/>
  <cp:lastModifiedBy>Kamil Bilgen (EVOSYS)</cp:lastModifiedBy>
  <cp:revision>11</cp:revision>
  <dcterms:created xsi:type="dcterms:W3CDTF">2025-11-10T14:38:00Z</dcterms:created>
  <dcterms:modified xsi:type="dcterms:W3CDTF">2026-08-25T22:40:00Z</dcterms:modified>
</cp:coreProperties>
</file>