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50E6B" w14:textId="77777777" w:rsidR="00805380" w:rsidRPr="00847FA1" w:rsidRDefault="00805380" w:rsidP="00847FA1">
      <w:pPr>
        <w:tabs>
          <w:tab w:val="left" w:pos="9923"/>
        </w:tabs>
        <w:spacing w:before="120" w:after="120"/>
        <w:ind w:left="284" w:right="424" w:hanging="284"/>
        <w:jc w:val="center"/>
        <w:rPr>
          <w:b/>
          <w:bCs/>
          <w:sz w:val="24"/>
          <w:szCs w:val="24"/>
        </w:rPr>
      </w:pPr>
      <w:bookmarkStart w:id="0" w:name="_Toc219133883"/>
      <w:r>
        <w:rPr>
          <w:b/>
          <w:bCs/>
          <w:sz w:val="24"/>
          <w:szCs w:val="24"/>
        </w:rPr>
        <w:t>KİŞİSEL VERİ SAKLAMA VE İMHA POLİTİKASI</w:t>
      </w:r>
    </w:p>
    <w:p w14:paraId="2A56DAD1" w14:textId="77777777" w:rsidR="007715BA" w:rsidRPr="00915211" w:rsidRDefault="007715BA" w:rsidP="00847FA1">
      <w:pPr>
        <w:pStyle w:val="Balk1"/>
        <w:numPr>
          <w:ilvl w:val="0"/>
          <w:numId w:val="3"/>
        </w:numPr>
        <w:tabs>
          <w:tab w:val="left" w:pos="9923"/>
        </w:tabs>
        <w:spacing w:before="120" w:after="120"/>
        <w:ind w:left="284" w:right="424" w:hanging="284"/>
        <w:rPr>
          <w:rFonts w:asciiTheme="minorHAnsi" w:hAnsiTheme="minorHAnsi" w:cstheme="minorHAnsi"/>
          <w:noProof/>
          <w:szCs w:val="22"/>
        </w:rPr>
      </w:pPr>
      <w:r>
        <w:rPr>
          <w:rFonts w:asciiTheme="minorHAnsi" w:hAnsiTheme="minorHAnsi" w:cstheme="minorHAnsi"/>
          <w:noProof/>
          <w:szCs w:val="22"/>
        </w:rPr>
        <w:t>AMAÇ</w:t>
      </w:r>
      <w:bookmarkEnd w:id="0"/>
    </w:p>
    <w:p w14:paraId="61154363" w14:textId="77777777" w:rsidR="00FA2BE3" w:rsidRDefault="00FA2BE3" w:rsidP="00847FA1">
      <w:pPr>
        <w:pStyle w:val="GvdeMetni"/>
        <w:tabs>
          <w:tab w:val="left" w:pos="9923"/>
        </w:tabs>
        <w:spacing w:before="120" w:after="120"/>
        <w:jc w:val="both"/>
        <w:rPr>
          <w:rFonts w:asciiTheme="minorHAnsi" w:hAnsiTheme="minorHAnsi" w:cstheme="minorHAnsi"/>
          <w:noProof/>
          <w:w w:val="105"/>
          <w:szCs w:val="22"/>
        </w:rPr>
      </w:pPr>
      <w:r>
        <w:rPr>
          <w:rFonts w:asciiTheme="minorHAnsi" w:hAnsiTheme="minorHAnsi" w:cstheme="minorHAnsi"/>
          <w:noProof/>
          <w:color w:val="000000"/>
          <w:szCs w:val="22"/>
        </w:rPr>
        <w:t xml:space="preserve">İşbu Politika ile Şirketimiz, </w:t>
      </w:r>
      <w:r>
        <w:rPr>
          <w:rFonts w:asciiTheme="minorHAnsi" w:hAnsiTheme="minorHAnsi" w:cstheme="minorHAnsi"/>
          <w:noProof/>
          <w:w w:val="105"/>
          <w:szCs w:val="22"/>
        </w:rPr>
        <w:t>İşbu Kişisel Veri Saklama ve İmha Politikası (“</w:t>
      </w:r>
      <w:r>
        <w:rPr>
          <w:rFonts w:asciiTheme="minorHAnsi" w:hAnsiTheme="minorHAnsi" w:cstheme="minorHAnsi"/>
          <w:b/>
          <w:noProof/>
          <w:w w:val="105"/>
          <w:szCs w:val="22"/>
        </w:rPr>
        <w:t>Politika</w:t>
      </w:r>
      <w:r>
        <w:rPr>
          <w:rFonts w:asciiTheme="minorHAnsi" w:hAnsiTheme="minorHAnsi" w:cstheme="minorHAnsi"/>
          <w:noProof/>
          <w:w w:val="105"/>
          <w:szCs w:val="22"/>
        </w:rPr>
        <w:t>”), 6698 Sayılı Kişisel Verilerin Korunması Kanunu (“</w:t>
      </w:r>
      <w:r>
        <w:rPr>
          <w:rFonts w:asciiTheme="minorHAnsi" w:hAnsiTheme="minorHAnsi" w:cstheme="minorHAnsi"/>
          <w:b/>
          <w:noProof/>
          <w:w w:val="105"/>
          <w:szCs w:val="22"/>
        </w:rPr>
        <w:t>KVKK</w:t>
      </w:r>
      <w:r>
        <w:rPr>
          <w:rFonts w:asciiTheme="minorHAnsi" w:hAnsiTheme="minorHAnsi" w:cstheme="minorHAnsi"/>
          <w:noProof/>
          <w:w w:val="105"/>
          <w:szCs w:val="22"/>
        </w:rPr>
        <w:t>” ya da “</w:t>
      </w:r>
      <w:r>
        <w:rPr>
          <w:rFonts w:asciiTheme="minorHAnsi" w:hAnsiTheme="minorHAnsi" w:cstheme="minorHAnsi"/>
          <w:b/>
          <w:noProof/>
          <w:w w:val="105"/>
          <w:szCs w:val="22"/>
        </w:rPr>
        <w:t>Kanun</w:t>
      </w:r>
      <w:r>
        <w:rPr>
          <w:rFonts w:asciiTheme="minorHAnsi" w:hAnsiTheme="minorHAnsi" w:cstheme="minorHAnsi"/>
          <w:noProof/>
          <w:w w:val="105"/>
          <w:szCs w:val="22"/>
        </w:rPr>
        <w:t>”) ve Kanun’un ikincil düzenlemesini teşkil eden 28 Ekim 2017 tarihli Resmi Gazete’de yayımlanarak yürürlüğe giren Kişisel Verilerin Silinmesi, Yok Edilmesi veya Anonim Hale Getirilmesi Hakkında Yönetmelik (“</w:t>
      </w:r>
      <w:r>
        <w:rPr>
          <w:rFonts w:asciiTheme="minorHAnsi" w:hAnsiTheme="minorHAnsi" w:cstheme="minorHAnsi"/>
          <w:b/>
          <w:noProof/>
          <w:w w:val="105"/>
          <w:szCs w:val="22"/>
        </w:rPr>
        <w:t>Yönetmelik</w:t>
      </w:r>
      <w:r>
        <w:rPr>
          <w:rFonts w:asciiTheme="minorHAnsi" w:hAnsiTheme="minorHAnsi" w:cstheme="minorHAnsi"/>
          <w:noProof/>
          <w:w w:val="105"/>
          <w:szCs w:val="22"/>
        </w:rPr>
        <w:t>”) uyarınca yükümlülüklerimizin yerine getirilmesi ve kişisel verilerin işlendikleri amaç için gerekli olan azami saklama süresinin</w:t>
      </w:r>
      <w:r>
        <w:rPr>
          <w:rFonts w:asciiTheme="minorHAnsi" w:hAnsiTheme="minorHAnsi" w:cstheme="minorHAnsi"/>
          <w:noProof/>
          <w:spacing w:val="55"/>
          <w:w w:val="105"/>
          <w:szCs w:val="22"/>
        </w:rPr>
        <w:t xml:space="preserve"> </w:t>
      </w:r>
      <w:r>
        <w:rPr>
          <w:rFonts w:asciiTheme="minorHAnsi" w:hAnsiTheme="minorHAnsi" w:cstheme="minorHAnsi"/>
          <w:noProof/>
          <w:w w:val="105"/>
          <w:szCs w:val="22"/>
        </w:rPr>
        <w:t>belirlenmesi işlemi ile silme, yok etme ve anonim hale getirme işlemleri için dayanak olarak kullanılması ve  bu işlemler hakkında ilgili kişilerin bilgilendirilmesi amacıyla, veri sorumlusu sıfatıyla Başoğlan Çınarı Turizm Ticaret Tarım Akaryakıt İnşaat Mimarlık Mühendislik İthalat ve İhracat Ltd.Şti.  tarafından hazırlanmıştır.</w:t>
      </w:r>
    </w:p>
    <w:p w14:paraId="07C72767" w14:textId="77777777" w:rsidR="001559ED" w:rsidRDefault="00000000" w:rsidP="00847FA1">
      <w:pPr>
        <w:tabs>
          <w:tab w:val="left" w:pos="9923"/>
        </w:tabs>
        <w:jc w:val="both"/>
        <w:rPr>
          <w:rFonts w:asciiTheme="minorHAnsi" w:hAnsiTheme="minorHAnsi" w:cstheme="minorHAnsi"/>
          <w:szCs w:val="22"/>
        </w:rPr>
      </w:pPr>
      <w:r>
        <w:rPr>
          <w:rFonts w:asciiTheme="minorHAnsi" w:hAnsiTheme="minorHAnsi" w:cstheme="minorHAnsi"/>
          <w:szCs w:val="22"/>
        </w:rPr>
        <w:t>İşbu metinde Başoğlan Çınarı Turizm Ticaret Tarım Akaryakıt İnşaat Mimarlık Mühendislik İthalat ve İhracat Ltd.Şti.; NUUP Hotel, Sento, Krei ve Patisserie olarak hizmet vermekte olup, metin içerisinde kısaca “NUUP Hotel” olarak anılacaktır.</w:t>
      </w:r>
    </w:p>
    <w:p w14:paraId="7E3F463F" w14:textId="77777777" w:rsidR="00FD5EE8" w:rsidRPr="00915211" w:rsidRDefault="00FD5EE8" w:rsidP="00847FA1">
      <w:pPr>
        <w:pStyle w:val="Balk1"/>
        <w:numPr>
          <w:ilvl w:val="0"/>
          <w:numId w:val="3"/>
        </w:numPr>
        <w:tabs>
          <w:tab w:val="left" w:pos="9923"/>
        </w:tabs>
        <w:spacing w:before="120" w:after="120"/>
        <w:ind w:left="284" w:right="424" w:hanging="284"/>
        <w:rPr>
          <w:rFonts w:asciiTheme="minorHAnsi" w:hAnsiTheme="minorHAnsi" w:cstheme="minorHAnsi"/>
          <w:noProof/>
          <w:szCs w:val="22"/>
        </w:rPr>
      </w:pPr>
      <w:bookmarkStart w:id="1" w:name="_Toc219133884"/>
      <w:r>
        <w:rPr>
          <w:rFonts w:asciiTheme="minorHAnsi" w:hAnsiTheme="minorHAnsi" w:cstheme="minorHAnsi"/>
          <w:noProof/>
          <w:szCs w:val="22"/>
        </w:rPr>
        <w:t>KAPSAM</w:t>
      </w:r>
      <w:bookmarkEnd w:id="1"/>
    </w:p>
    <w:p w14:paraId="5C76E90E" w14:textId="5A894C20" w:rsidR="00847DB1" w:rsidRPr="00915211" w:rsidRDefault="00847DB1" w:rsidP="00847FA1">
      <w:pPr>
        <w:pStyle w:val="GvdeMetni"/>
        <w:tabs>
          <w:tab w:val="left" w:pos="9923"/>
        </w:tabs>
        <w:spacing w:before="120" w:after="120"/>
        <w:jc w:val="both"/>
        <w:rPr>
          <w:rFonts w:asciiTheme="minorHAnsi" w:hAnsiTheme="minorHAnsi" w:cstheme="minorHAnsi"/>
          <w:noProof/>
          <w:w w:val="105"/>
          <w:szCs w:val="22"/>
        </w:rPr>
      </w:pPr>
      <w:r>
        <w:rPr>
          <w:rFonts w:asciiTheme="minorHAnsi" w:hAnsiTheme="minorHAnsi" w:cstheme="minorHAnsi"/>
          <w:noProof/>
          <w:w w:val="105"/>
          <w:szCs w:val="22"/>
        </w:rPr>
        <w:t xml:space="preserve">Bu politika, kurum nezdinde tutulan, kurumun tüm çalışanlarını ve kişisel veri paylaşımı söz konusu olan tüm durumlarda iştiraklerini, tedarikçilerini ve kurumun diğer hukuki ilişkiye girdiği gerçek ve tüzel kişileri, bu verileri tamamen veya kısmen otomatik olan ya da herhangi bir veri kayıt sisteminin parçası olmak kaydıyla otomatik olmayan yollarla işlenen kanun ile tanımlanan kişisel verileri ve özel nitelikli kişisel verileri kapsamaktadır. Politikada aksi belirtilmedikçe kişisel veriler ve özel nitelikli kişisel veriler birlikte “Kişisel Veriler” olarak adlandırılacaktır.</w:t>
      </w:r>
    </w:p>
    <w:p w14:paraId="58D795D3" w14:textId="77777777" w:rsidR="008A4507" w:rsidRPr="00915211" w:rsidRDefault="000C4E54" w:rsidP="00847FA1">
      <w:pPr>
        <w:pStyle w:val="Balk1"/>
        <w:numPr>
          <w:ilvl w:val="0"/>
          <w:numId w:val="3"/>
        </w:numPr>
        <w:tabs>
          <w:tab w:val="left" w:pos="9923"/>
        </w:tabs>
        <w:spacing w:before="120" w:after="120"/>
        <w:ind w:left="284" w:right="424" w:hanging="284"/>
        <w:rPr>
          <w:rFonts w:asciiTheme="minorHAnsi" w:hAnsiTheme="minorHAnsi" w:cstheme="minorHAnsi"/>
          <w:noProof/>
          <w:szCs w:val="22"/>
        </w:rPr>
      </w:pPr>
      <w:r>
        <w:rPr>
          <w:rFonts w:asciiTheme="minorHAnsi" w:hAnsiTheme="minorHAnsi" w:cstheme="minorHAnsi"/>
          <w:noProof/>
          <w:szCs w:val="22"/>
        </w:rPr>
        <w:t xml:space="preserve"> </w:t>
      </w:r>
      <w:bookmarkStart w:id="2" w:name="_Toc219133885"/>
      <w:r>
        <w:rPr>
          <w:rFonts w:asciiTheme="minorHAnsi" w:hAnsiTheme="minorHAnsi" w:cstheme="minorHAnsi"/>
          <w:noProof/>
          <w:szCs w:val="22"/>
        </w:rPr>
        <w:t>SORUMLULUKLAR</w:t>
      </w:r>
      <w:bookmarkEnd w:id="2"/>
      <w:r>
        <w:rPr>
          <w:rFonts w:asciiTheme="minorHAnsi" w:hAnsiTheme="minorHAnsi" w:cstheme="minorHAnsi"/>
          <w:noProof/>
          <w:szCs w:val="22"/>
        </w:rPr>
        <w:t xml:space="preserve"> </w:t>
      </w:r>
    </w:p>
    <w:p w14:paraId="619BB464" w14:textId="77777777" w:rsidR="00B909CB" w:rsidRPr="00915211" w:rsidRDefault="00C3175D" w:rsidP="00847FA1">
      <w:pPr>
        <w:tabs>
          <w:tab w:val="left" w:pos="9923"/>
        </w:tabs>
        <w:spacing w:before="120" w:after="120"/>
        <w:ind w:right="424"/>
        <w:jc w:val="both"/>
        <w:rPr>
          <w:rFonts w:asciiTheme="minorHAnsi" w:hAnsiTheme="minorHAnsi" w:cstheme="minorHAnsi"/>
          <w:noProof/>
          <w:szCs w:val="22"/>
        </w:rPr>
      </w:pPr>
      <w:bookmarkStart w:id="3" w:name="_Hlk170637965"/>
      <w:bookmarkStart w:id="4" w:name="_Hlk170982506"/>
      <w:r>
        <w:rPr>
          <w:rFonts w:asciiTheme="minorHAnsi" w:hAnsiTheme="minorHAnsi" w:cstheme="minorHAnsi"/>
          <w:b/>
          <w:bCs/>
          <w:noProof/>
          <w:szCs w:val="22"/>
        </w:rPr>
        <w:t xml:space="preserve">Hazırlayan: </w:t>
      </w:r>
      <w:r>
        <w:rPr>
          <w:rFonts w:asciiTheme="minorHAnsi" w:hAnsiTheme="minorHAnsi" w:cstheme="minorHAnsi"/>
          <w:color w:val="000000"/>
          <w:szCs w:val="22"/>
        </w:rPr>
        <w:t xml:space="preserve">NUUP Hotel </w:t>
      </w:r>
    </w:p>
    <w:p w14:paraId="2D643A05" w14:textId="4C2E2926" w:rsidR="004F2004" w:rsidRPr="00915211" w:rsidRDefault="00C3175D"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Onaylayan: </w:t>
      </w:r>
      <w:r>
        <w:rPr>
          <w:rFonts w:asciiTheme="minorHAnsi" w:hAnsiTheme="minorHAnsi" w:cstheme="minorHAnsi"/>
          <w:noProof/>
          <w:szCs w:val="22"/>
        </w:rPr>
        <w:t xml:space="preserve">KVK Ekibi </w:t>
      </w:r>
    </w:p>
    <w:p w14:paraId="7912958C" w14:textId="77777777" w:rsidR="00C842B5" w:rsidRPr="00915211" w:rsidRDefault="00C3175D" w:rsidP="00847FA1">
      <w:pPr>
        <w:tabs>
          <w:tab w:val="left" w:pos="0"/>
          <w:tab w:val="left" w:pos="284"/>
          <w:tab w:val="left" w:pos="9923"/>
        </w:tabs>
        <w:suppressAutoHyphen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Kullanan:</w:t>
      </w:r>
      <w:r>
        <w:rPr>
          <w:rFonts w:asciiTheme="minorHAnsi" w:hAnsiTheme="minorHAnsi" w:cstheme="minorHAnsi"/>
          <w:noProof/>
          <w:szCs w:val="22"/>
        </w:rPr>
        <w:t xml:space="preserve"> </w:t>
      </w:r>
      <w:bookmarkEnd w:id="3"/>
      <w:bookmarkEnd w:id="4"/>
      <w:r>
        <w:rPr>
          <w:rFonts w:asciiTheme="minorHAnsi" w:hAnsiTheme="minorHAnsi" w:cstheme="minorHAnsi"/>
          <w:noProof/>
          <w:szCs w:val="22"/>
        </w:rPr>
        <w:t>NUUP Hotel çalışanları</w:t>
      </w:r>
    </w:p>
    <w:p w14:paraId="590023DA" w14:textId="77777777" w:rsidR="004623F4" w:rsidRPr="00915211" w:rsidRDefault="004623F4" w:rsidP="00847FA1">
      <w:pPr>
        <w:pStyle w:val="Balk1"/>
        <w:numPr>
          <w:ilvl w:val="0"/>
          <w:numId w:val="3"/>
        </w:numPr>
        <w:tabs>
          <w:tab w:val="left" w:pos="9923"/>
        </w:tabs>
        <w:spacing w:before="120" w:after="120"/>
        <w:ind w:left="284" w:right="424" w:hanging="284"/>
        <w:rPr>
          <w:rFonts w:asciiTheme="minorHAnsi" w:hAnsiTheme="minorHAnsi" w:cstheme="minorHAnsi"/>
          <w:noProof/>
          <w:szCs w:val="22"/>
        </w:rPr>
      </w:pPr>
      <w:bookmarkStart w:id="5" w:name="_Toc219133886"/>
      <w:r>
        <w:rPr>
          <w:rFonts w:asciiTheme="minorHAnsi" w:hAnsiTheme="minorHAnsi" w:cstheme="minorHAnsi"/>
          <w:noProof/>
          <w:szCs w:val="22"/>
        </w:rPr>
        <w:t>TANIMLAR VE KISALTMALAR</w:t>
      </w:r>
      <w:bookmarkEnd w:id="5"/>
    </w:p>
    <w:p w14:paraId="756C561B"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Açık Rıza</w:t>
      </w:r>
      <w:r>
        <w:rPr>
          <w:rFonts w:asciiTheme="minorHAnsi" w:hAnsiTheme="minorHAnsi" w:cstheme="minorHAnsi"/>
          <w:noProof/>
          <w:szCs w:val="22"/>
        </w:rPr>
        <w:t>: Belirli bir konuya ilişkin, bilgilendirilmeye dayanan ve özgür iradeyle açıklanan rıza.</w:t>
      </w:r>
    </w:p>
    <w:p w14:paraId="583049EF"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Alıcı Grubu</w:t>
      </w:r>
      <w:r>
        <w:rPr>
          <w:rFonts w:asciiTheme="minorHAnsi" w:hAnsiTheme="minorHAnsi" w:cstheme="minorHAnsi"/>
          <w:noProof/>
          <w:szCs w:val="22"/>
        </w:rPr>
        <w:t>: Veri sorumlusu tarafından kişisel verilerin aktarıldığı gerçek veya tüzel kişi kategorisi.</w:t>
      </w:r>
    </w:p>
    <w:p w14:paraId="4F91470A"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Anayasa</w:t>
      </w:r>
      <w:r>
        <w:rPr>
          <w:rFonts w:asciiTheme="minorHAnsi" w:hAnsiTheme="minorHAnsi" w:cstheme="minorHAnsi"/>
          <w:noProof/>
          <w:szCs w:val="22"/>
        </w:rPr>
        <w:t>: Türkiye Cumhuriyeti Anayasası.</w:t>
      </w:r>
    </w:p>
    <w:p w14:paraId="135F3615"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İlgili Kullanıcı</w:t>
      </w:r>
      <w:r>
        <w:rPr>
          <w:rFonts w:asciiTheme="minorHAnsi" w:hAnsiTheme="minorHAnsi" w:cstheme="minorHAnsi"/>
          <w:noProof/>
          <w:szCs w:val="22"/>
        </w:rPr>
        <w:t>: Verilerin teknik olarak depolanması, korunması ve yedeklenmesinden sorumlu olan kişi/birim hariç; veri sorumlusu organizasyonunda veya veri sorumlusundan aldığı yetki ve talimatla kişisel verileri işleyen kişiler.</w:t>
      </w:r>
    </w:p>
    <w:p w14:paraId="46AA893D"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İmha</w:t>
      </w:r>
      <w:r>
        <w:rPr>
          <w:rFonts w:asciiTheme="minorHAnsi" w:hAnsiTheme="minorHAnsi" w:cstheme="minorHAnsi"/>
          <w:noProof/>
          <w:szCs w:val="22"/>
        </w:rPr>
        <w:t>: Kişisel verilerin silinmesi, yok edilmesi veya anonim hale getirilmesi.</w:t>
      </w:r>
    </w:p>
    <w:p w14:paraId="175FB930"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Kayıt Ortamı</w:t>
      </w:r>
      <w:r>
        <w:rPr>
          <w:rFonts w:asciiTheme="minorHAnsi" w:hAnsiTheme="minorHAnsi" w:cstheme="minorHAnsi"/>
          <w:noProof/>
          <w:szCs w:val="22"/>
        </w:rPr>
        <w:t>: Tamamen veya kısmen otomatik olan ya da bir veri kayıt sisteminin parçası olmak kaydıyla otomatik olmayan yollarla işlenen kişisel verilerin bulunduğu her türlü ortam.</w:t>
      </w:r>
    </w:p>
    <w:p w14:paraId="4E50199D"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Kişisel Veri</w:t>
      </w:r>
      <w:r>
        <w:rPr>
          <w:rFonts w:asciiTheme="minorHAnsi" w:hAnsiTheme="minorHAnsi" w:cstheme="minorHAnsi"/>
          <w:noProof/>
          <w:szCs w:val="22"/>
        </w:rPr>
        <w:t>: Kimliği belirli veya belirlenebilir gerçek kişiye ilişkin her türlü bilgi (örn. ad-soyad, TCKN, e-posta, adres, doğum tarihi, kredi kartı numarası, banka hesap numarası). Tüzel kişilere ilişkin bilgiler Kanun kapsamında değildir.</w:t>
      </w:r>
    </w:p>
    <w:p w14:paraId="71F37832"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İlgili Kişi</w:t>
      </w:r>
      <w:r>
        <w:rPr>
          <w:rFonts w:asciiTheme="minorHAnsi" w:hAnsiTheme="minorHAnsi" w:cstheme="minorHAnsi"/>
          <w:noProof/>
          <w:szCs w:val="22"/>
        </w:rPr>
        <w:t>: Kişisel verisi işlenen gerçek kişi.</w:t>
      </w:r>
    </w:p>
    <w:p w14:paraId="2457000A" w14:textId="77777777" w:rsidR="00915211"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Kişisel Verilerin İşlenmesi</w:t>
      </w:r>
      <w:r>
        <w:rPr>
          <w:rFonts w:asciiTheme="minorHAnsi" w:hAnsiTheme="minorHAnsi" w:cstheme="minorHAnsi"/>
          <w:noProof/>
          <w:szCs w:val="22"/>
        </w:rPr>
        <w:t>: Kişisel verilerin elde edilmesi, kaydedilmesi, depolanması, muhafaza edilmesi, değiştirilmesi, yeniden düzenlenmesi, açıklanması, aktarılması, devralınması, elde edilebilir hâle getirilmesi, sınıflandırılması veya kullanılmasının engellenmesi gibi veriler üzerinde gerçekleştirilen her türlü işlem.</w:t>
      </w:r>
    </w:p>
    <w:p w14:paraId="38A94C6F" w14:textId="77777777" w:rsidR="00915211" w:rsidRPr="00915211" w:rsidRDefault="00915211" w:rsidP="00847FA1">
      <w:pPr>
        <w:tabs>
          <w:tab w:val="left" w:pos="9923"/>
        </w:tabs>
        <w:spacing w:before="120" w:after="120"/>
        <w:ind w:right="424"/>
        <w:jc w:val="both"/>
        <w:rPr>
          <w:rFonts w:asciiTheme="minorHAnsi" w:hAnsiTheme="minorHAnsi" w:cstheme="minorHAnsi"/>
          <w:noProof/>
          <w:w w:val="105"/>
          <w:szCs w:val="22"/>
        </w:rPr>
      </w:pPr>
      <w:r>
        <w:rPr>
          <w:rFonts w:asciiTheme="minorHAnsi" w:hAnsiTheme="minorHAnsi" w:cstheme="minorHAnsi"/>
          <w:b/>
          <w:bCs/>
          <w:noProof/>
          <w:szCs w:val="22"/>
        </w:rPr>
        <w:t>Kişisel Verilerin Anonim Hale Getirilmesi:</w:t>
      </w:r>
      <w:r>
        <w:rPr>
          <w:rFonts w:asciiTheme="minorHAnsi" w:hAnsiTheme="minorHAnsi" w:cstheme="minorHAnsi"/>
          <w:noProof/>
          <w:szCs w:val="22"/>
        </w:rPr>
        <w:t xml:space="preserve"> </w:t>
      </w:r>
      <w:r>
        <w:rPr>
          <w:rFonts w:asciiTheme="minorHAnsi" w:hAnsiTheme="minorHAnsi" w:cstheme="minorHAnsi"/>
          <w:noProof/>
          <w:w w:val="105"/>
          <w:szCs w:val="22"/>
        </w:rPr>
        <w:t>Kişisel verilerin, başka verilerle eşleştirilerek dahi hiçbir surette kimliği belirli veya belirlenebilir bir gerçek kişiyle ilişkilendirilemeyecek hâle getirilmesi.</w:t>
      </w:r>
    </w:p>
    <w:p w14:paraId="51E61F21" w14:textId="77777777" w:rsidR="00915211" w:rsidRPr="00915211" w:rsidRDefault="00915211"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w w:val="105"/>
          <w:szCs w:val="22"/>
        </w:rPr>
        <w:t>Kişisel Verilerin Silinmesi:</w:t>
      </w:r>
      <w:r>
        <w:rPr>
          <w:rFonts w:asciiTheme="minorHAnsi" w:hAnsiTheme="minorHAnsi" w:cstheme="minorHAnsi"/>
          <w:noProof/>
          <w:w w:val="105"/>
          <w:szCs w:val="22"/>
        </w:rPr>
        <w:t xml:space="preserve"> Kişisel verilerin İlgili Kullanıcılar için hiçbir şekilde erişilemez ve tekrar kullanılamaz hale</w:t>
      </w:r>
      <w:r>
        <w:rPr>
          <w:rFonts w:asciiTheme="minorHAnsi" w:hAnsiTheme="minorHAnsi" w:cstheme="minorHAnsi"/>
          <w:noProof/>
          <w:spacing w:val="1"/>
          <w:w w:val="105"/>
          <w:szCs w:val="22"/>
        </w:rPr>
        <w:t xml:space="preserve"> </w:t>
      </w:r>
      <w:r>
        <w:rPr>
          <w:rFonts w:asciiTheme="minorHAnsi" w:hAnsiTheme="minorHAnsi" w:cstheme="minorHAnsi"/>
          <w:noProof/>
          <w:w w:val="105"/>
          <w:szCs w:val="22"/>
        </w:rPr>
        <w:t>getirilmesi.</w:t>
      </w:r>
    </w:p>
    <w:p w14:paraId="044528E8" w14:textId="77777777" w:rsidR="00915211" w:rsidRPr="00915211" w:rsidRDefault="00915211"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w w:val="105"/>
          <w:szCs w:val="22"/>
        </w:rPr>
        <w:lastRenderedPageBreak/>
        <w:t xml:space="preserve">Kişisel Verilerin Yok Edilmesi: </w:t>
      </w:r>
      <w:r>
        <w:rPr>
          <w:rFonts w:asciiTheme="minorHAnsi" w:hAnsiTheme="minorHAnsi" w:cstheme="minorHAnsi"/>
          <w:noProof/>
          <w:w w:val="105"/>
          <w:szCs w:val="22"/>
        </w:rPr>
        <w:t>Kişisel verilerin hiç kimse tarafından hiçbir şekilde erişilemez, geri getirilemez ve tekrar kullanılamaz hale getirilmesi işlemi.</w:t>
      </w:r>
    </w:p>
    <w:p w14:paraId="6C3EFFAE"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Kurul</w:t>
      </w:r>
      <w:r>
        <w:rPr>
          <w:rFonts w:asciiTheme="minorHAnsi" w:hAnsiTheme="minorHAnsi" w:cstheme="minorHAnsi"/>
          <w:noProof/>
          <w:szCs w:val="22"/>
        </w:rPr>
        <w:t>: Kişisel Verileri Koruma Kurulu.</w:t>
      </w:r>
    </w:p>
    <w:p w14:paraId="47E3A747"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Özel Nitelikli Kişisel Veri</w:t>
      </w:r>
      <w:r>
        <w:rPr>
          <w:rFonts w:asciiTheme="minorHAnsi" w:hAnsiTheme="minorHAnsi" w:cstheme="minorHAnsi"/>
          <w:noProof/>
          <w:szCs w:val="22"/>
        </w:rPr>
        <w:t>: Irk, etnik köken, siyasi düşünce, felsefi inanç, din, mezhep veya diğer inançlar, kılık kıyafet, dernek/vakıf/sendika üyeliği, sağlık, cinsel hayat, ceza mahkûmiyeti ve güvenlik tedbirleriyle ilgili veriler ile biyometrik ve genetik veriler.</w:t>
      </w:r>
    </w:p>
    <w:p w14:paraId="03952C62"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Periyodik İmha</w:t>
      </w:r>
      <w:r>
        <w:rPr>
          <w:rFonts w:asciiTheme="minorHAnsi" w:hAnsiTheme="minorHAnsi" w:cstheme="minorHAnsi"/>
          <w:noProof/>
          <w:szCs w:val="22"/>
        </w:rPr>
        <w:t>: Kanun’daki işleme şartlarının tamamının ortadan kalkması durumunda, Politika’da belirtilen aralıklarla re’sen gerçekleştirilen silme, yok etme veya anonim hale getirme işlemi.</w:t>
      </w:r>
    </w:p>
    <w:p w14:paraId="0CD45A10" w14:textId="77777777" w:rsidR="00915211" w:rsidRPr="00915211" w:rsidRDefault="00915211"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w w:val="105"/>
          <w:szCs w:val="22"/>
        </w:rPr>
        <w:t>Veri Sahibi/İlgili Kişi:</w:t>
      </w:r>
      <w:r>
        <w:rPr>
          <w:rFonts w:asciiTheme="minorHAnsi" w:hAnsiTheme="minorHAnsi" w:cstheme="minorHAnsi"/>
          <w:noProof/>
          <w:w w:val="105"/>
          <w:szCs w:val="22"/>
        </w:rPr>
        <w:t xml:space="preserve"> Kişisel verisi işlenen gerçek kişi.</w:t>
      </w:r>
    </w:p>
    <w:p w14:paraId="498FBC9A" w14:textId="77777777" w:rsidR="00847DB1"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Veri Sorumlusu</w:t>
      </w:r>
      <w:r>
        <w:rPr>
          <w:rFonts w:asciiTheme="minorHAnsi" w:hAnsiTheme="minorHAnsi" w:cstheme="minorHAnsi"/>
          <w:noProof/>
          <w:szCs w:val="22"/>
        </w:rPr>
        <w:t>: Kişisel verilerin işlenme amaçlarını ve vasıtalarını belirleyen, verilerin sistematik şekilde tutulduğu yeri (veri kayıt sistemi) yöneten kişi.</w:t>
      </w:r>
    </w:p>
    <w:p w14:paraId="2A4340E7" w14:textId="77777777" w:rsidR="00A87B2C" w:rsidRPr="00915211" w:rsidRDefault="00847DB1"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Yönetmelik:</w:t>
      </w:r>
      <w:r>
        <w:rPr>
          <w:rFonts w:asciiTheme="minorHAnsi" w:hAnsiTheme="minorHAnsi" w:cstheme="minorHAnsi"/>
          <w:noProof/>
          <w:w w:val="105"/>
          <w:szCs w:val="22"/>
        </w:rPr>
        <w:t xml:space="preserve"> 28 Ekim 2017 tarihinde Resmi Gazete’de yayımlanan Kişisel Verilerin Silinmesi, Yok Edilmesi veya Anonim Hale Getirilmesi Hakkında Yönetmelik</w:t>
      </w:r>
    </w:p>
    <w:p w14:paraId="711DB967" w14:textId="77777777" w:rsidR="001156F4" w:rsidRPr="00915211" w:rsidRDefault="00B81044" w:rsidP="00847FA1">
      <w:pPr>
        <w:pStyle w:val="Balk1"/>
        <w:numPr>
          <w:ilvl w:val="0"/>
          <w:numId w:val="3"/>
        </w:numPr>
        <w:tabs>
          <w:tab w:val="left" w:pos="9923"/>
        </w:tabs>
        <w:spacing w:before="120" w:after="120"/>
        <w:ind w:left="284" w:right="424" w:hanging="284"/>
        <w:rPr>
          <w:rFonts w:asciiTheme="minorHAnsi" w:hAnsiTheme="minorHAnsi" w:cstheme="minorHAnsi"/>
          <w:noProof/>
          <w:szCs w:val="22"/>
        </w:rPr>
      </w:pPr>
      <w:r>
        <w:rPr>
          <w:rFonts w:asciiTheme="minorHAnsi" w:hAnsiTheme="minorHAnsi" w:cstheme="minorHAnsi"/>
          <w:noProof/>
          <w:szCs w:val="22"/>
        </w:rPr>
        <w:t xml:space="preserve"> </w:t>
      </w:r>
      <w:bookmarkStart w:id="6" w:name="_Toc219133887"/>
      <w:r>
        <w:rPr>
          <w:rFonts w:asciiTheme="minorHAnsi" w:hAnsiTheme="minorHAnsi" w:cstheme="minorHAnsi"/>
          <w:noProof/>
          <w:szCs w:val="22"/>
        </w:rPr>
        <w:t>UYGULAMA</w:t>
      </w:r>
      <w:bookmarkEnd w:id="6"/>
    </w:p>
    <w:p w14:paraId="1C5E9C4E" w14:textId="77777777" w:rsidR="00FA2BE3" w:rsidRPr="00915211" w:rsidRDefault="00FA2BE3"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t xml:space="preserve">POLİTİKA İLE DÜZENLENEN KAYIT ORTAMLARI </w:t>
      </w:r>
    </w:p>
    <w:p w14:paraId="749F27C9"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Kanun kapsamındaki veri işleme faaliyetlerine konu tüm kişisel verileri, tamamen veya kısmen otomatik olan ya da herhangi bir veri kayıt sisteminin parçası olmak kaydıyla otomatik olmayan yollarla işlenen kişisel verilerin bulunduğu ve aşağıda belirtilen ortamlarda saklamaktadır: </w:t>
      </w:r>
    </w:p>
    <w:p w14:paraId="18C646DA"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Fiziksel arşiv </w:t>
      </w:r>
    </w:p>
    <w:p w14:paraId="0998E45A"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Şirketimizin veri tabanları</w:t>
      </w:r>
    </w:p>
    <w:p w14:paraId="497D0B4A"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E-posta hesapları </w:t>
      </w:r>
    </w:p>
    <w:p w14:paraId="5D26F15E"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Yedekleme Alanları </w:t>
      </w:r>
    </w:p>
    <w:p w14:paraId="3A069B09"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Masaüstü bilgisayarlar </w:t>
      </w:r>
    </w:p>
    <w:p w14:paraId="2A7673B9"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Şirket çalışanlarının taşınabilir cihazları </w:t>
      </w:r>
    </w:p>
    <w:p w14:paraId="1D4256AD" w14:textId="77777777" w:rsidR="00FA2BE3" w:rsidRPr="00915211" w:rsidRDefault="00FA2BE3"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t xml:space="preserve">KİŞİSEL VERİLERİN SAKLANMASINI VE İMHASINI GEREKTİREN SEBEPLER </w:t>
      </w:r>
    </w:p>
    <w:p w14:paraId="1503F5DB"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kişisel veri işleme faaliyetlerinde aşağıdaki ilkeleri esas almaktadır: </w:t>
      </w:r>
    </w:p>
    <w:p w14:paraId="53FB7F37" w14:textId="77777777" w:rsidR="00FA2BE3" w:rsidRPr="00915211" w:rsidRDefault="00A26D7C"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Hukuka ve Dürüstlük Kuralına Uygun Olunması, </w:t>
      </w:r>
    </w:p>
    <w:p w14:paraId="724C44B5" w14:textId="77777777" w:rsidR="00FA2BE3" w:rsidRPr="00915211" w:rsidRDefault="00A26D7C"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Kişisel Verilerin Doğru ve Gerektiğinde Güncel Olmasını Sağlama, </w:t>
      </w:r>
    </w:p>
    <w:p w14:paraId="72F4CAE3" w14:textId="77777777" w:rsidR="00FA2BE3" w:rsidRPr="00915211" w:rsidRDefault="00A26D7C"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Belirli, Açık ve Meşru Amaçlarla İşleme, </w:t>
      </w:r>
    </w:p>
    <w:p w14:paraId="34185F7A" w14:textId="77777777" w:rsidR="00FA2BE3" w:rsidRPr="00915211" w:rsidRDefault="00A26D7C"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İşlendikleri Amaçla Bağlantılı, Sınırlı ve Ölçülü Olma, </w:t>
      </w:r>
    </w:p>
    <w:p w14:paraId="26138C49" w14:textId="77777777" w:rsidR="00FA2BE3" w:rsidRPr="00915211" w:rsidRDefault="00A26D7C"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 İlgili Mevzuatta Öngörülen veya İşlendikleri Amaç İçin Gerekli Olan Süre Kadar Muhafaza Etme. </w:t>
      </w:r>
    </w:p>
    <w:p w14:paraId="56F99280" w14:textId="77777777" w:rsidR="00A26D7C"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kişisel verileri, yukarıda bahsi geçen ilkelerle uyumlu şekilde, NUUP Hotel Kişisel Verilerin Korunması ve İşlenmesi Politikası ile NUUP Hotel Çalışanları Kişisel Verilerin Korunması ve İşlenmesi Politikası’nın ilgili maddelerinde yer alan kişisel veri işleme amaçlarıyla ve aşağıda belirtilen Kanun’un 5’inci ve 6’ncı maddelerinde yer alan kişisel verilerin işlenme şartlarına istinaden kişisel verileri saklamakta ve kullanmakta olup, söz konusu şartların tamamının ortadan kalkması halinde, kişisel verileri re’sen veya ilgili kişinin talebi üzerine imha etmektedir. </w:t>
      </w:r>
    </w:p>
    <w:p w14:paraId="3F762B5E"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(a) İlgili Kişinin Açık Rızasının Bulunması </w:t>
      </w:r>
    </w:p>
    <w:p w14:paraId="336A7A15"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Kişisel verilerin işlenme şartlarından biri sahibinin açık rızasıdır. İlgili kişinin açık rızası belirli bir konuya ilişkin, bilgilendirilmeye dayalı olarak ve özgür iradeyle açıklanmalıdır. </w:t>
      </w:r>
    </w:p>
    <w:p w14:paraId="16DA55AB"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(b) Kanunlarda Açıkça Öngörülmesi </w:t>
      </w:r>
    </w:p>
    <w:p w14:paraId="51153306"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İlgili kişinin kişisel verileri, kanunlarda açıkça öngörülmesi halinde açık rızası alınmadan hukuka uygun olarak işlenebilecektir. </w:t>
      </w:r>
    </w:p>
    <w:p w14:paraId="355345F8"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lastRenderedPageBreak/>
        <w:t xml:space="preserve">(c) Fiili İmkansızlık Sebebiyle İlgili Kişinin Açık Rızasının Alınamaması </w:t>
      </w:r>
    </w:p>
    <w:p w14:paraId="56B01E4C"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Fiili imkansızlık nedeniyle rızasını açıklayamayacak durumda olan veya rızasına geçerlilik tanınamayacak olan kişinin kendisinin ya da başka bir kişinin hayatı veya beden bütünlüğünü korumak için kişisel verisinin işlenmesinin zorunlu olması halinde ilgili kişinin kişisel verileri işlenebilecektir. </w:t>
      </w:r>
    </w:p>
    <w:p w14:paraId="3D873655"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(d) Sözleşmenin Kurulması veya İfasıyla Doğrudan İlgi Olması </w:t>
      </w:r>
    </w:p>
    <w:p w14:paraId="073C23DD"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Bir sözleşmenin kurulması veya ifasıyla doğrudan doğruya ilgili olması kaydıyla, sözleşmenin taraflarına ait kişisel verilerin işlenmesinin gerekli olması halinde kişisel verilerin işlenmesi mümkündür. </w:t>
      </w:r>
    </w:p>
    <w:p w14:paraId="2938859E"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(e) Hukuki Yükümlülük </w:t>
      </w:r>
    </w:p>
    <w:p w14:paraId="786AB7F1"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Şirketimizin hukuki yükümlülüklerini yerine getirmesi için veri işlemenin zorunlu olması halinde ilgili kişinin verileri işlenebilecektir. </w:t>
      </w:r>
    </w:p>
    <w:p w14:paraId="311F8593"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(f) İlgili Kişinin Kişisel Verisini Alenileştirmesi </w:t>
      </w:r>
    </w:p>
    <w:p w14:paraId="215416F8"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İlgili kişinin, kişisel verisini kendisi tarafından alenileştirmiş olması halinde ilgili kişisel veriler alenileştirme amacıyla sınırlı olarak işlenebilecektir. </w:t>
      </w:r>
    </w:p>
    <w:p w14:paraId="3201F545"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(g) Bir Hakkın Tesisi veya Korunması için Veri İşlemenin Zorunlu Olması </w:t>
      </w:r>
    </w:p>
    <w:p w14:paraId="102B355B"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Bir hakkın tesisi, kullanılması veya korunması için veri işlemenin zorunlu olması halinde ilgili kişinin kişisel verileri işlenebilecektir </w:t>
      </w:r>
    </w:p>
    <w:p w14:paraId="64AA9D01"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(h) Şirketimizin Meşru Menfaati İçin Veri İşlemenin Zorunlu Olması </w:t>
      </w:r>
    </w:p>
    <w:p w14:paraId="00560B01"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İlgili kişinin temel hak ve özgürlüklerine zarar vermemek kaydıyla Şirketimizin meşru menfaatleri için veri işlemesinin zorunlu olması halinde ilgili kişinin kişisel verileri işlenebilecektir. </w:t>
      </w:r>
    </w:p>
    <w:p w14:paraId="7FF0DE74" w14:textId="77777777" w:rsidR="00A26D7C" w:rsidRPr="00095CD2"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Bu doğrultuda, kişisel veri işleme faaliyetinin dayanağı yukarıda belirtilen şartlardan yalnızca biri olabildiği gibi bu şartlardan birden fazlası da aynı kişisel veri işleme faaliyetinin dayanağı olabilmektedir. </w:t>
      </w:r>
    </w:p>
    <w:p w14:paraId="56931814" w14:textId="77777777" w:rsidR="00FA2BE3" w:rsidRPr="00915211" w:rsidRDefault="00FA2BE3"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t xml:space="preserve">KİŞİSEL VERİLERİN İMHA EDİLMESİ İŞLEMİ İLE İLGİLİ UYGULANAN YÖNTEMLER VE KİŞİSEL VERİLERİN HUKUKA UYGUN OLARAK İMHA EDİLMESİ İÇİN ALINMIŞ TEKNİK VE İDARİ TEDBİRLER </w:t>
      </w:r>
    </w:p>
    <w:p w14:paraId="640F9CF1" w14:textId="77777777" w:rsidR="00FA2BE3"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Kanun’un 5’inci ve 6’ncı maddelerinde yer alan kişisel verilerin işlenme şartlarının tamamının ortadan kalkması halinde, kişisel verileri aşağıdaki yöntemlerle silmekte, yok etmekte veya anonim hale getirilmesi getirmektedir. Şirketimiz, kişisel verilerin imhasında azami dikkat ve özeni göstermektedir. Bu kapsamda Şirketimiz, Kanun’un 12’nci maddesi ve Yönetmelik hükümleri, yukarıda belirtilen genel ilkeler ile işbu Politika ve Kurul kararları uyarınca aşağıda belirtilen hususlar ile ilgili teknolojik imkanlar ve uygulama maliyetine göre gerekli teknik ve idari tedbirleri almaktadır. İmha kapsamında gerçekleştirilen tüm işlemler Şirketimiz tarafından kayıt altına alınmaktadır. Şirketimiz, Kurul tarafından aksine bir karar alınmadıkça, kişisel verileri re’sen silme, yok etme veya anonim hale getirme yöntemlerinden uygun olanını teknolojik imkanlar ve uygulama maliyetine göre seçmekte olup, ilgili kişinin talebi halinde uygun yöntemin gerekçesini açıklamaktadır. </w:t>
      </w:r>
    </w:p>
    <w:p w14:paraId="4604B60C" w14:textId="77777777" w:rsidR="00FA2BE3" w:rsidRPr="00A26D7C" w:rsidRDefault="00FA2BE3" w:rsidP="00847FA1">
      <w:pPr>
        <w:tabs>
          <w:tab w:val="left" w:pos="9923"/>
        </w:tabs>
        <w:spacing w:before="120" w:after="120"/>
        <w:ind w:right="424"/>
        <w:jc w:val="both"/>
        <w:rPr>
          <w:rFonts w:asciiTheme="minorHAnsi" w:hAnsiTheme="minorHAnsi" w:cstheme="minorHAnsi"/>
          <w:b/>
          <w:bCs/>
          <w:noProof/>
          <w:szCs w:val="22"/>
        </w:rPr>
      </w:pPr>
      <w:r>
        <w:rPr>
          <w:rFonts w:asciiTheme="minorHAnsi" w:hAnsiTheme="minorHAnsi" w:cstheme="minorHAnsi"/>
          <w:b/>
          <w:bCs/>
          <w:noProof/>
          <w:szCs w:val="22"/>
        </w:rPr>
        <w:t xml:space="preserve">(a) Kişisel Verilerin Silinme Yöntemleri </w:t>
      </w:r>
    </w:p>
    <w:p w14:paraId="3DC8C4CC"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Kişisel verilerin silinmesi, kişisel verilerin ilgili kullanıcılar için hiçbir şekilde erişilemez ve tekrar kullanılamaz hale getirilmesi işlemidir. Şirketimiz, silinen kişisel verilerin ilgili kullanıcılar için erişilemez ve tekrar kullanılamaz olması için teknolojik imkanlar ve uygulama maliyetine göre gerekli her türlü teknik ve idari tedbirleri almaktadır. </w:t>
      </w:r>
    </w:p>
    <w:p w14:paraId="5A32A92A"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Bu kapsamda Şirketimiz, kişisel verileri silme işlemi için aşağıdaki yöntemleri uygulamaktadır: </w:t>
      </w:r>
    </w:p>
    <w:p w14:paraId="64908F0A" w14:textId="77777777" w:rsidR="00FA2BE3" w:rsidRPr="00A26D7C" w:rsidRDefault="00EB5878" w:rsidP="00847FA1">
      <w:pPr>
        <w:tabs>
          <w:tab w:val="left" w:pos="9923"/>
        </w:tabs>
        <w:spacing w:before="120" w:after="120"/>
        <w:ind w:right="424"/>
        <w:jc w:val="both"/>
        <w:rPr>
          <w:rFonts w:asciiTheme="minorHAnsi" w:hAnsiTheme="minorHAnsi" w:cstheme="minorHAnsi"/>
          <w:b/>
          <w:bCs/>
          <w:noProof/>
          <w:szCs w:val="22"/>
        </w:rPr>
      </w:pPr>
      <w:r>
        <w:rPr>
          <w:rFonts w:asciiTheme="minorHAnsi" w:hAnsiTheme="minorHAnsi" w:cstheme="minorHAnsi"/>
          <w:b/>
          <w:bCs/>
          <w:noProof/>
          <w:szCs w:val="22"/>
        </w:rPr>
        <w:t xml:space="preserve">1. Kağıt Ortamında Bulunan Kişisel Veriler </w:t>
      </w:r>
    </w:p>
    <w:p w14:paraId="18CC6A39"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kağıt ortamında ve fiziksel arşivlerde tutulan kişisel verileri kağıt kırpma makinesi ile verilerin geri dönüştürülemez hale getirilmesi şeklinde yapılır. </w:t>
      </w:r>
    </w:p>
    <w:p w14:paraId="7513BC49" w14:textId="77777777" w:rsidR="00FA2BE3" w:rsidRPr="00A26D7C" w:rsidRDefault="00EB5878" w:rsidP="00847FA1">
      <w:pPr>
        <w:tabs>
          <w:tab w:val="left" w:pos="9923"/>
        </w:tabs>
        <w:spacing w:before="120" w:after="120"/>
        <w:ind w:right="424"/>
        <w:jc w:val="both"/>
        <w:rPr>
          <w:rFonts w:asciiTheme="minorHAnsi" w:hAnsiTheme="minorHAnsi" w:cstheme="minorHAnsi"/>
          <w:b/>
          <w:bCs/>
          <w:noProof/>
          <w:szCs w:val="22"/>
        </w:rPr>
      </w:pPr>
      <w:r>
        <w:rPr>
          <w:rFonts w:asciiTheme="minorHAnsi" w:hAnsiTheme="minorHAnsi" w:cstheme="minorHAnsi"/>
          <w:b/>
          <w:bCs/>
          <w:noProof/>
          <w:szCs w:val="22"/>
        </w:rPr>
        <w:t xml:space="preserve">2. Taşınabilir Cihazlarda Bulunan Kişisel Veriler </w:t>
      </w:r>
    </w:p>
    <w:p w14:paraId="112B2379" w14:textId="77777777" w:rsidR="00FA2BE3"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taşınabilir cihazlardaki kişisel verileri şifreli olarak saklar ve bu ortamlara uygun yazılımlar kullanarak kişisel verilerin silinmesini sağlar. </w:t>
      </w:r>
    </w:p>
    <w:p w14:paraId="1FC95A6E" w14:textId="77777777" w:rsidR="005D0720" w:rsidRDefault="005D0720" w:rsidP="00847FA1">
      <w:pPr>
        <w:tabs>
          <w:tab w:val="left" w:pos="9923"/>
        </w:tabs>
        <w:spacing w:before="120" w:after="120"/>
        <w:ind w:right="424"/>
        <w:jc w:val="both"/>
        <w:rPr>
          <w:rFonts w:asciiTheme="minorHAnsi" w:hAnsiTheme="minorHAnsi" w:cstheme="minorHAnsi"/>
          <w:noProof/>
          <w:szCs w:val="22"/>
        </w:rPr>
      </w:pPr>
    </w:p>
    <w:p w14:paraId="0D4F4AF3" w14:textId="77777777" w:rsidR="005D0720" w:rsidRPr="00915211" w:rsidRDefault="005D0720" w:rsidP="00847FA1">
      <w:pPr>
        <w:tabs>
          <w:tab w:val="left" w:pos="9923"/>
        </w:tabs>
        <w:spacing w:before="120" w:after="120"/>
        <w:ind w:right="424"/>
        <w:jc w:val="both"/>
        <w:rPr>
          <w:rFonts w:asciiTheme="minorHAnsi" w:hAnsiTheme="minorHAnsi" w:cstheme="minorHAnsi"/>
          <w:noProof/>
          <w:szCs w:val="22"/>
        </w:rPr>
      </w:pPr>
    </w:p>
    <w:p w14:paraId="3EFCA29D" w14:textId="77777777" w:rsidR="00FA2BE3" w:rsidRPr="00A26D7C" w:rsidRDefault="00EB5878" w:rsidP="00847FA1">
      <w:pPr>
        <w:tabs>
          <w:tab w:val="left" w:pos="9923"/>
        </w:tabs>
        <w:spacing w:before="120" w:after="120"/>
        <w:ind w:right="424"/>
        <w:jc w:val="both"/>
        <w:rPr>
          <w:rFonts w:asciiTheme="minorHAnsi" w:hAnsiTheme="minorHAnsi" w:cstheme="minorHAnsi"/>
          <w:b/>
          <w:bCs/>
          <w:noProof/>
          <w:szCs w:val="22"/>
        </w:rPr>
      </w:pPr>
      <w:r>
        <w:rPr>
          <w:rFonts w:asciiTheme="minorHAnsi" w:hAnsiTheme="minorHAnsi" w:cstheme="minorHAnsi"/>
          <w:b/>
          <w:bCs/>
          <w:noProof/>
          <w:szCs w:val="22"/>
        </w:rPr>
        <w:lastRenderedPageBreak/>
        <w:t xml:space="preserve">3. Veri Tabanlarında Bulunan Kişisel Veriler </w:t>
      </w:r>
    </w:p>
    <w:p w14:paraId="7CF729B6"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Şirketimiz veri tabanlarında bulunan kişisel verilerin veri tabanı silme komutları ile silinmesini sağlar. Anılan işlem gerçekleştirilirken veri tabanına erişim yetkisi olan kullanıcının aynı zamanda veri tabanı yöneticisi olmadığına dikkat edilir.</w:t>
      </w:r>
    </w:p>
    <w:p w14:paraId="310832AA" w14:textId="77777777" w:rsidR="00C93357" w:rsidRDefault="00000000"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t>KİŞİSEL VERİLERİN GÜVENLİ BİR ŞEKİLDE SAKLANMASI İLE HUKUKA AYKIRI OLARAK İŞLENMESİ VE ERİŞİLMESİNİN ÖNLENMESİ İÇİN ALINMIŞ TEKNİK VE İDARİ TEDBİRLER</w:t>
      </w:r>
    </w:p>
    <w:p w14:paraId="228C6DDD" w14:textId="77777777" w:rsidR="00C93357" w:rsidRDefault="0000000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NUUP Hotel, kişisel verilerin güvenli bir şekilde saklanması ile hukuka aykırı olarak işlenmesi ve erişilmesinin önlenmesi konusunda azami dikkat ve özeni göstermekte olup, Kanun’un 12’nci maddesi, Yönetmelik hükümleri ve Kurul’un Kişisel Veri Güvenliği Rehberi’nde yer alan başlıklar esas alınarak, kurumun mevcut teknolojik imkânları ve uygulama maliyeti gözetilerek aşağıdaki teknik ve idari tedbirler alınmaktadır. NUUP Hotel, bu tedbirleri düzenli olarak gözden geçirmekte ve teknolojik gelişmeler doğrultusunda güncellemektedir.</w:t>
      </w:r>
    </w:p>
    <w:p w14:paraId="418C6D02" w14:textId="3B132EAE"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1. Log Kayıtları: </w:t>
      </w:r>
      <w:r>
        <w:rPr>
          <w:rFonts w:asciiTheme="minorHAnsi" w:hAnsiTheme="minorHAnsi" w:cstheme="minorHAnsi"/>
          <w:noProof/>
          <w:szCs w:val="22"/>
        </w:rPr>
        <w:t>Kullanıcıların sistem üzerindeki hareketlerine ilişkin erişim log kayıtları düzenli olarak tutulmaktadır.</w:t>
      </w:r>
    </w:p>
    <w:p w14:paraId="433ECA81" w14:textId="1C9F78CF"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2. Kişisel Verilerin Şifrelenmesi: </w:t>
      </w:r>
      <w:r>
        <w:rPr>
          <w:rFonts w:asciiTheme="minorHAnsi" w:hAnsiTheme="minorHAnsi" w:cstheme="minorHAnsi"/>
          <w:noProof/>
          <w:szCs w:val="22"/>
        </w:rPr>
        <w:t>Kişisel verilerin uygun kriptografik yöntemlerle şifrelenerek depolanması ve aktarılması hususu, sistemlerin kapasitesine göre değerlendirilmekte ve geliştirilmesi hedeflenmektedir.</w:t>
      </w:r>
    </w:p>
    <w:p w14:paraId="5AEB9C77" w14:textId="38F9D6E9"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3. Yazılım Güvenliği: </w:t>
      </w:r>
      <w:r>
        <w:rPr>
          <w:rFonts w:asciiTheme="minorHAnsi" w:hAnsiTheme="minorHAnsi" w:cstheme="minorHAnsi"/>
          <w:noProof/>
          <w:szCs w:val="22"/>
        </w:rPr>
        <w:t>Kullanılan uygulama ve yazılımların güncel tutulması ve güvenlik yamalarının uygulanması sağlanmaktadır.</w:t>
      </w:r>
    </w:p>
    <w:p w14:paraId="1BDE66C3" w14:textId="6A8DAE2B"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4. Güvenlik Duvarları (Firewall): </w:t>
      </w:r>
      <w:r>
        <w:rPr>
          <w:rFonts w:asciiTheme="minorHAnsi" w:hAnsiTheme="minorHAnsi" w:cstheme="minorHAnsi"/>
          <w:noProof/>
          <w:szCs w:val="22"/>
        </w:rPr>
        <w:t>Ağ sınırlarını korumak amacıyla güvenlik duvarı (Mikrotik) yapılandırılmış olup, ağ trafiği bu kapsamda denetlenmektedir.</w:t>
      </w:r>
    </w:p>
    <w:p w14:paraId="3E18FF09" w14:textId="541614D4"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5. Güncel Antivirüs Sistemleri: </w:t>
      </w:r>
      <w:r>
        <w:rPr>
          <w:rFonts w:asciiTheme="minorHAnsi" w:hAnsiTheme="minorHAnsi" w:cstheme="minorHAnsi"/>
          <w:noProof/>
          <w:szCs w:val="22"/>
        </w:rPr>
        <w:t>Zararlı yazılımlara karşı korunmak amacıyla sunucu ve son kullanıcı cihazlarında güncel antivirüs/anti-malware yazılımları (Kaspersky, ESET) kullanılmaktadır.</w:t>
      </w:r>
    </w:p>
    <w:p w14:paraId="7CC423F4" w14:textId="5018DE02"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6. Ağ Güvenliği: </w:t>
      </w:r>
      <w:r>
        <w:rPr>
          <w:rFonts w:asciiTheme="minorHAnsi" w:hAnsiTheme="minorHAnsi" w:cstheme="minorHAnsi"/>
          <w:noProof/>
          <w:szCs w:val="22"/>
        </w:rPr>
        <w:t>Kurum bünyesinde birbirinden fiziksel ve alansal olarak ayrılmış, ayrı yönetilebilen üç farklı ağ yapısı bulunmakta olup, bu segmentasyon ağ güvenliğine katkı sağlamaktadır.</w:t>
      </w:r>
    </w:p>
    <w:p w14:paraId="0BA44214" w14:textId="6F5CB1E4"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7. Bulut Güvenliği: </w:t>
      </w:r>
      <w:r>
        <w:rPr>
          <w:rFonts w:asciiTheme="minorHAnsi" w:hAnsiTheme="minorHAnsi" w:cstheme="minorHAnsi"/>
          <w:noProof/>
          <w:szCs w:val="22"/>
        </w:rPr>
        <w:t>Otel yönetim sistemi (PMS) kapsamında kullanılan bulut altyapısı yurt içinde (Türkiye) barındırılmakta olup, ilgili hizmet sağlayıcı ile veri güvenliğine ilişkin gerekli sözleşmesel güvenceler sağlanmaktadır.</w:t>
      </w:r>
    </w:p>
    <w:p w14:paraId="6E4EA987" w14:textId="25BE0C3A"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8. Yedekleme: </w:t>
      </w:r>
      <w:r>
        <w:rPr>
          <w:rFonts w:asciiTheme="minorHAnsi" w:hAnsiTheme="minorHAnsi" w:cstheme="minorHAnsi"/>
          <w:noProof/>
          <w:szCs w:val="22"/>
        </w:rPr>
        <w:t>Kişisel veriler, fiziksel sunucu üzerinden düzenli disk yedeklemesine tabi tutulmakta ve ayrı bir yedek sunucusunda muhafaza edilmektedir.</w:t>
      </w:r>
    </w:p>
    <w:p w14:paraId="5ACA9528" w14:textId="19323AC5"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9. Silme, Yok Etme veya Anonim Hale Getirme: </w:t>
      </w:r>
      <w:r>
        <w:rPr>
          <w:rFonts w:asciiTheme="minorHAnsi" w:hAnsiTheme="minorHAnsi" w:cstheme="minorHAnsi"/>
          <w:noProof/>
          <w:szCs w:val="22"/>
        </w:rPr>
        <w:t>Saklama süresi dolan kişisel veriler, işbu Politika’da belirtilen yöntemlerle güvenli şekilde imha edilmektedir.</w:t>
      </w:r>
    </w:p>
    <w:p w14:paraId="40898964" w14:textId="6E911F2F" w:rsidR="00C93357"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10. Fiziksel Ortam Güvenliği: </w:t>
      </w:r>
      <w:r>
        <w:rPr>
          <w:rFonts w:asciiTheme="minorHAnsi" w:hAnsiTheme="minorHAnsi" w:cstheme="minorHAnsi"/>
          <w:noProof/>
          <w:szCs w:val="22"/>
        </w:rPr>
        <w:t xml:space="preserve">Sunucu ve teknik altyapının bulunduğu alanlara erişim sınırlandırılmakta olup, fiziksel güvenlik uygulamaları işletilmektedir.</w:t>
      </w:r>
    </w:p>
    <w:p w14:paraId="1F1A860F" w14:textId="77777777" w:rsidR="005D0720" w:rsidRPr="005D0720" w:rsidRDefault="005D0720" w:rsidP="00847FA1">
      <w:pPr>
        <w:tabs>
          <w:tab w:val="left" w:pos="9923"/>
        </w:tabs>
        <w:spacing w:before="120" w:after="120"/>
        <w:ind w:right="424"/>
        <w:jc w:val="both"/>
        <w:rPr>
          <w:rFonts w:asciiTheme="minorHAnsi" w:hAnsiTheme="minorHAnsi" w:cstheme="minorHAnsi"/>
          <w:b/>
          <w:bCs/>
          <w:noProof/>
          <w:szCs w:val="22"/>
        </w:rPr>
      </w:pPr>
      <w:r>
        <w:rPr>
          <w:rFonts w:asciiTheme="minorHAnsi" w:hAnsiTheme="minorHAnsi" w:cstheme="minorHAnsi"/>
          <w:b/>
          <w:bCs/>
          <w:noProof/>
          <w:szCs w:val="22"/>
        </w:rPr>
        <w:t>İdari Tedbirler</w:t>
      </w:r>
    </w:p>
    <w:p w14:paraId="5795A0C6" w14:textId="77777777"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Yukarıda belirtilen teknik tedbirlere ek olarak, NUUP Hotel bünyesinde kişisel verilerin hukuka uygun olarak işlenmesini ve saklanmasını sağlamak amacıyla, Kurul’un Kişisel Veri Güvenliği Rehberi’nde yer alan başlıklar esas alınarak aşağıdaki idari tedbirler alınmaktadır:</w:t>
      </w:r>
    </w:p>
    <w:p w14:paraId="2245B608" w14:textId="77777777"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1. Mevcut Risk ve Tehditlerin Belirlenmesi: </w:t>
      </w:r>
      <w:r>
        <w:rPr>
          <w:rFonts w:asciiTheme="minorHAnsi" w:hAnsiTheme="minorHAnsi" w:cstheme="minorHAnsi"/>
          <w:noProof/>
          <w:szCs w:val="22"/>
        </w:rPr>
        <w:t>NUUP Hotel bünyesinde işlenen kişisel veriler, tüm birimlerde gerçekleştirilen veri envanteri çalışması kapsamında tespit edilmiş; bu veriler üzerindeki olası riskler ve gizlilik seviyeleri değerlendirilerek uygun tedbirler planlanmıştır.</w:t>
      </w:r>
    </w:p>
    <w:p w14:paraId="67650C2C" w14:textId="5FD2CA4C"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2. Çalışanların Eğitilmesi ve Farkındalık Çalışmaları: </w:t>
      </w:r>
      <w:r>
        <w:rPr>
          <w:rFonts w:asciiTheme="minorHAnsi" w:hAnsiTheme="minorHAnsi" w:cstheme="minorHAnsi"/>
          <w:noProof/>
          <w:szCs w:val="22"/>
        </w:rPr>
        <w:t>Resepsiyon, kat hizmetleri, misafir ilişkileri gibi misafir verisiyle doğrudan temas eden birimlerde çalışan personel başta olmak üzere tüm çalışanlar, kişisel veri güvenliği konusunda bilgilendirilmekte ve gerekli hallerde eğitime tabi tutulmaktadır.</w:t>
      </w:r>
    </w:p>
    <w:p w14:paraId="2A90E7D3" w14:textId="77777777"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3. Kişisel Veri Güvenliği Politikalarının ve Prosedürlerinin Belirlenmesi: </w:t>
      </w:r>
      <w:r>
        <w:rPr>
          <w:rFonts w:asciiTheme="minorHAnsi" w:hAnsiTheme="minorHAnsi" w:cstheme="minorHAnsi"/>
          <w:noProof/>
          <w:szCs w:val="22"/>
        </w:rPr>
        <w:t>NUUP Hotel, işbu Politika ile birlikte Kişisel Verilerin Korunması ve İşlenmesi Politikası, Özel Nitelikli Kişisel Verilerin İşlenmesi ve Güvenliği Politikası, Veri Toplama Akış ve İşleme Prosedürü ile Veri Aktarım ve Paylaşımı Prosedürü’nü yürürlüğe koymuş olup, bu dokümanların uygulanması düzenli olarak kontrol edilmektedir.</w:t>
      </w:r>
    </w:p>
    <w:p w14:paraId="141A5C73" w14:textId="77777777"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lastRenderedPageBreak/>
        <w:t xml:space="preserve">4. Kişisel Verilerin Mümkün Olduğunca Azaltılması: </w:t>
      </w:r>
      <w:r>
        <w:rPr>
          <w:rFonts w:asciiTheme="minorHAnsi" w:hAnsiTheme="minorHAnsi" w:cstheme="minorHAnsi"/>
          <w:noProof/>
          <w:szCs w:val="22"/>
        </w:rPr>
        <w:t>Kişisel veriler, yalnızca işlenme amacı için gerekli olan asgari kapsamda toplanmakta olup, bu ilke Veri Toplama Akış ve İşleme Prosedürü’nde ayrıca düzenlenmiştir.</w:t>
      </w:r>
    </w:p>
    <w:p w14:paraId="5259769A" w14:textId="50AD0B7E"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5. Veri İşleyenler ile İlişkilerin Yönetimi: </w:t>
      </w:r>
      <w:r>
        <w:rPr>
          <w:rFonts w:asciiTheme="minorHAnsi" w:hAnsiTheme="minorHAnsi" w:cstheme="minorHAnsi"/>
          <w:noProof/>
          <w:szCs w:val="22"/>
        </w:rPr>
        <w:t>Rezervasyon motoru, otel yönetim sistemi  ve diğer hizmet sağlayıcılar gibi veri işleyen sıfatıyla hareket eden üçüncü taraflarla olan ilişkilerde, veri güvenliğinin sağlanması amacıyla gerekli sözleşmesel güvenceler tesis edilmektedir.</w:t>
      </w:r>
    </w:p>
    <w:p w14:paraId="4D27CF15" w14:textId="77777777"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6. Kişisel Veri Güvenliği Kurumsal Yapısının Oluşturulması: </w:t>
      </w:r>
      <w:r>
        <w:rPr>
          <w:rFonts w:asciiTheme="minorHAnsi" w:hAnsiTheme="minorHAnsi" w:cstheme="minorHAnsi"/>
          <w:noProof/>
          <w:szCs w:val="22"/>
        </w:rPr>
        <w:t>NUUP Hotel bünyesinde kişisel veri güvenliği süreçlerini koordine eden KVK Çalışma Komitesi oluşturulmuş olup, ilgili süreçler bu komite tarafından yürütülmektedir.</w:t>
      </w:r>
    </w:p>
    <w:p w14:paraId="0B402A01" w14:textId="77777777" w:rsidR="005D0720" w:rsidRPr="005D0720" w:rsidRDefault="005D0720"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b/>
          <w:bCs/>
          <w:noProof/>
          <w:szCs w:val="22"/>
        </w:rPr>
        <w:t xml:space="preserve">7. Disiplin Süreci: </w:t>
      </w:r>
      <w:r>
        <w:rPr>
          <w:rFonts w:asciiTheme="minorHAnsi" w:hAnsiTheme="minorHAnsi" w:cstheme="minorHAnsi"/>
          <w:noProof/>
          <w:szCs w:val="22"/>
        </w:rPr>
        <w:t>Güvenlik politika ve prosedürlerine uymayan çalışanlar hakkında ilgili iç yönetmelik hükümleri uyarınca disiplin süreci işletilmektedir.</w:t>
      </w:r>
    </w:p>
    <w:p w14:paraId="5B4D6FE9" w14:textId="77777777" w:rsidR="005D0720" w:rsidRDefault="005D0720" w:rsidP="00847FA1">
      <w:pPr>
        <w:tabs>
          <w:tab w:val="left" w:pos="9923"/>
        </w:tabs>
        <w:spacing w:before="120" w:after="120"/>
        <w:ind w:right="424"/>
        <w:jc w:val="both"/>
        <w:rPr>
          <w:rFonts w:asciiTheme="minorHAnsi" w:hAnsiTheme="minorHAnsi" w:cstheme="minorHAnsi"/>
          <w:noProof/>
          <w:szCs w:val="22"/>
        </w:rPr>
      </w:pPr>
    </w:p>
    <w:p w14:paraId="7768A0B5" w14:textId="77777777" w:rsidR="00FA2BE3" w:rsidRPr="00915211" w:rsidRDefault="00FA2BE3"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t xml:space="preserve">KİŞİSEL VERİLERİ SAKLAMA VE İMHA SÜREÇLERİNDE YER ALANLARIN UNVANLARI, BİRİMLERİ VE GÖREV TANIMLARI </w:t>
      </w:r>
    </w:p>
    <w:p w14:paraId="03EA48BA" w14:textId="77777777" w:rsidR="00FA2BE3" w:rsidRPr="00915211"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 xml:space="preserve">Şirketimiz, kişisel verilerin saklanması ve imha edilmesi süreçlerinde yer alan kişileri, kişisel verilerin korunması hukuku ve kişisel verilerin hukuka uygun olarak işlenmesi konusunda bilgilendirilmekte ve eğitilmektedir. Bu kapsamda, Şirketimiz çalışanları ve görevleri dolayısıyla kişisel verileri öğrenen kişiler, bahse konu bilgileri Kanun ve diğer ilgili mevzuat hükümlerine uyun olarak saklamakta ve imha etmektedir. Bu yükümlülük, ilgili kişilerin görevden ayrılmalarından sonra da devam etmektedir. </w:t>
      </w:r>
    </w:p>
    <w:p w14:paraId="4DF4BC8B" w14:textId="77777777" w:rsidR="00FA2BE3" w:rsidRDefault="00FA2BE3" w:rsidP="00847FA1">
      <w:pPr>
        <w:tabs>
          <w:tab w:val="left" w:pos="9923"/>
        </w:tabs>
        <w:spacing w:before="120" w:after="120"/>
        <w:ind w:right="424"/>
        <w:jc w:val="both"/>
        <w:rPr>
          <w:rFonts w:asciiTheme="minorHAnsi" w:hAnsiTheme="minorHAnsi" w:cstheme="minorHAnsi"/>
          <w:noProof/>
          <w:szCs w:val="22"/>
        </w:rPr>
      </w:pPr>
      <w:r>
        <w:rPr>
          <w:rFonts w:asciiTheme="minorHAnsi" w:hAnsiTheme="minorHAnsi" w:cstheme="minorHAnsi"/>
          <w:noProof/>
          <w:szCs w:val="22"/>
        </w:rPr>
        <w:t>Bu kapsamda, Şirketimizin saklama ve imha süreçlerinde yer alan kişilere ilişkin detaylar aşağıda açıklanmaktadır:</w:t>
      </w:r>
    </w:p>
    <w:p w14:paraId="40F20A72" w14:textId="7E1B1F74" w:rsidR="00915211" w:rsidRPr="00915211" w:rsidRDefault="00915211" w:rsidP="00847FA1">
      <w:pPr>
        <w:pStyle w:val="GvdeMetni"/>
        <w:tabs>
          <w:tab w:val="left" w:pos="9923"/>
        </w:tabs>
        <w:spacing w:before="120" w:after="120"/>
        <w:jc w:val="both"/>
        <w:rPr>
          <w:rFonts w:asciiTheme="minorHAnsi" w:hAnsiTheme="minorHAnsi" w:cstheme="minorHAnsi"/>
          <w:bCs/>
          <w:w w:val="105"/>
          <w:szCs w:val="22"/>
        </w:rPr>
      </w:pPr>
      <w:r>
        <w:rPr>
          <w:rFonts w:asciiTheme="minorHAnsi" w:hAnsiTheme="minorHAnsi" w:cstheme="minorHAnsi"/>
          <w:bCs/>
          <w:w w:val="105"/>
          <w:szCs w:val="22"/>
        </w:rPr>
        <w:t>Bu kapsamda ilgili kişi tarafından yürütülecek işler:</w:t>
      </w:r>
    </w:p>
    <w:p w14:paraId="20878B1C" w14:textId="77777777" w:rsidR="00915211" w:rsidRPr="00915211" w:rsidRDefault="00915211" w:rsidP="00847FA1">
      <w:pPr>
        <w:pStyle w:val="ListeParagraf"/>
        <w:numPr>
          <w:ilvl w:val="0"/>
          <w:numId w:val="7"/>
        </w:numPr>
        <w:tabs>
          <w:tab w:val="left" w:pos="9923"/>
        </w:tabs>
        <w:spacing w:before="120" w:after="120" w:line="240" w:lineRule="auto"/>
        <w:ind w:left="142" w:right="424" w:hanging="218"/>
        <w:contextualSpacing w:val="0"/>
        <w:jc w:val="both"/>
        <w:rPr>
          <w:rFonts w:cstheme="minorHAnsi"/>
          <w:noProof/>
        </w:rPr>
      </w:pPr>
      <w:r>
        <w:rPr>
          <w:rFonts w:cstheme="minorHAnsi"/>
          <w:noProof/>
        </w:rPr>
        <w:t>Kişisel verilerin korunması ve işlenmesine ilişkin süreçlerin dizaynına ilişkin belgelerin hazırlanması, takibi ve bunların ilgili kişilerin onaylarına sunulması,</w:t>
      </w:r>
    </w:p>
    <w:p w14:paraId="0AF086E5" w14:textId="77777777" w:rsidR="00915211" w:rsidRPr="00915211" w:rsidRDefault="00915211" w:rsidP="00847FA1">
      <w:pPr>
        <w:pStyle w:val="ListeParagraf"/>
        <w:numPr>
          <w:ilvl w:val="0"/>
          <w:numId w:val="7"/>
        </w:numPr>
        <w:tabs>
          <w:tab w:val="left" w:pos="9923"/>
        </w:tabs>
        <w:spacing w:before="120" w:after="120" w:line="240" w:lineRule="auto"/>
        <w:ind w:left="142" w:right="424" w:hanging="218"/>
        <w:contextualSpacing w:val="0"/>
        <w:jc w:val="both"/>
        <w:rPr>
          <w:rFonts w:cstheme="minorHAnsi"/>
          <w:noProof/>
        </w:rPr>
      </w:pPr>
      <w:r>
        <w:rPr>
          <w:rFonts w:cstheme="minorHAnsi"/>
          <w:noProof/>
        </w:rPr>
        <w:t>Kişisel verilerin korunmasına ve işlenmesine ilişkin dokümanların uygulanmasının temini ve gerekli denetimlerin yapılması,</w:t>
      </w:r>
    </w:p>
    <w:p w14:paraId="4873AAE0" w14:textId="4EDC6DD3" w:rsidR="00915211" w:rsidRPr="00915211" w:rsidRDefault="00915211" w:rsidP="00847FA1">
      <w:pPr>
        <w:pStyle w:val="ListeParagraf"/>
        <w:numPr>
          <w:ilvl w:val="0"/>
          <w:numId w:val="7"/>
        </w:numPr>
        <w:tabs>
          <w:tab w:val="left" w:pos="9923"/>
        </w:tabs>
        <w:spacing w:before="120" w:after="120" w:line="240" w:lineRule="auto"/>
        <w:ind w:left="142" w:right="424" w:hanging="218"/>
        <w:contextualSpacing w:val="0"/>
        <w:jc w:val="both"/>
        <w:rPr>
          <w:rFonts w:cstheme="minorHAnsi"/>
          <w:noProof/>
        </w:rPr>
      </w:pPr>
      <w:r>
        <w:rPr>
          <w:rFonts w:cstheme="minorHAnsi"/>
          <w:noProof/>
        </w:rPr>
        <w:t>KVK Kurumu ile olan ilişki ve yazışmaların takibi</w:t>
      </w:r>
    </w:p>
    <w:p w14:paraId="4C5BBB56" w14:textId="77777777" w:rsidR="00FA2BE3" w:rsidRPr="00915211" w:rsidRDefault="00FA2BE3"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lastRenderedPageBreak/>
        <w:t xml:space="preserve">YÜRÜRLÜK </w:t>
      </w:r>
    </w:p>
    <w:p w14:paraId="762E9E24" w14:textId="77777777" w:rsidR="00FA2BE3" w:rsidRPr="00915211" w:rsidRDefault="00FA2BE3"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 xml:space="preserve">İşbu Politika 1 Temmuz 2026 tarihinde yürürlüğe girmiştir. Politika değişen şartlara ve mevzuata uyum sağlamak amacıyla zaman zaman güncellenebilecektir. </w:t>
      </w:r>
    </w:p>
    <w:p w14:paraId="7575CB5A" w14:textId="77777777" w:rsidR="00A26D7C" w:rsidRPr="00915211" w:rsidRDefault="00FA2BE3"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İşbu Politika ile Kanun, Yönetmelik ve NUUP Hotel Kişisel Verilerin Korunması ve İşlenmesi Politikası hükümleri arasında herhangi bir çelişki olması halinde, Kanun, Yönetmelik ve NUUP Hotel Kişisel Verilerin Korunması ve İşlenmesi Politikası’nda yer alan hükümler geçerli olacaktır.</w:t>
      </w:r>
    </w:p>
    <w:p w14:paraId="43073AB3" w14:textId="77777777" w:rsidR="00A26D7C" w:rsidRDefault="00915211" w:rsidP="00847FA1">
      <w:pPr>
        <w:pStyle w:val="ListeParagraf"/>
        <w:numPr>
          <w:ilvl w:val="1"/>
          <w:numId w:val="3"/>
        </w:numPr>
        <w:tabs>
          <w:tab w:val="left" w:pos="9923"/>
        </w:tabs>
        <w:spacing w:before="120" w:after="120" w:line="240" w:lineRule="auto"/>
        <w:ind w:left="426" w:right="424" w:hanging="426"/>
        <w:contextualSpacing w:val="0"/>
        <w:jc w:val="both"/>
        <w:rPr>
          <w:rFonts w:cstheme="minorHAnsi"/>
          <w:b/>
          <w:bCs/>
          <w:noProof/>
          <w:lang w:val="tr-TR"/>
        </w:rPr>
      </w:pPr>
      <w:r>
        <w:rPr>
          <w:rFonts w:cstheme="minorHAnsi"/>
          <w:b/>
          <w:bCs/>
          <w:noProof/>
          <w:lang w:val="tr-TR"/>
        </w:rPr>
        <w:t xml:space="preserve">SAKLAMA VE İMHA SÜRELERİ </w:t>
      </w:r>
    </w:p>
    <w:p w14:paraId="5B05FA3E"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bookmarkStart w:id="7" w:name="_Toc169392976"/>
      <w:bookmarkStart w:id="8" w:name="_Toc214234880"/>
      <w:bookmarkStart w:id="9" w:name="_Toc219133888"/>
      <w:r>
        <w:rPr>
          <w:rFonts w:asciiTheme="minorHAnsi" w:hAnsiTheme="minorHAnsi" w:cstheme="minorHAnsi"/>
          <w:noProof/>
          <w:lang w:val="tr-TR"/>
        </w:rPr>
        <w:t>Şirketimiz, kişisel verileri ancak ilgili uymakla yükümlü olduğu mevzuatta belirtildiği veya işlendikleri amaç için gerekli olan süre kadar muhafaza ve imha etmektedir. Bu kapsamda Şirketimiz, kişisel verileri Kişisel Veri Envanteri'nde süreç bazında belirlenen ve VERBİS'e beyan edilen azami süreler boyunca saklamakta ve imha etmektedir. Bu kapsamda NUUP Hotel, tüm birimlerinde kişisel veri envanteri çalışması gerçekleştirmiş olup, işlenen verilere ait saklama ve imha süreleri Kişisel Veri Envanteri'nde süreç bazında tespit edilmiştir. Yapılan bu çalışmanın sonuçları VERBİS sistemine aktarılmış ve saklama süreleri VERBİS'te kişisel veri bazlı olarak beyan edilmiştir.</w:t>
      </w:r>
    </w:p>
    <w:p w14:paraId="77B7DE3B" w14:textId="1F96E4EE" w:rsidR="009E5294"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 xml:space="preserve">Şirketimiz, kişisel verileri imha etme yükümlülüğünün ortaya çıktığı tarihi takip eden ilk periyodik imha işleminde, kişisel verileri imha etmektedir. Bu kapsamda Şirketimiz, kişisel verileri imha etme yükümlülüğünün ortaya çıkması halinde kişisel verileri yıllık (1 Yıl ) olarak yapılan periyodik imha işlemine tabi tutmaktadır. Anılan süre, her hal ve koşulda Yönetmelik'in 11'inci maddesinde belirtilen azami periyodik imha süresini aşmamaktadır.</w:t>
      </w:r>
    </w:p>
    <w:p w14:paraId="0F5E050D"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İlgili kişinin, Şirketimize başvurarak kendisine ait kişisel verilerin imha edilmesini talep etmesi halinde Şirketimiz:</w:t>
      </w:r>
    </w:p>
    <w:p w14:paraId="24F4861C"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a) kişisel verileri işleme şartlarının tamamı ortadan kalkmışsa:</w:t>
      </w:r>
    </w:p>
    <w:p w14:paraId="53C9B776"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(i) ilgili kişinin talebini en geç otuz gün içinde sonuçlandırır ve ilgili kişiye bilgi verir, ve</w:t>
      </w:r>
    </w:p>
    <w:p w14:paraId="7C901B28"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(ii) talebe konu olan kişisel veriler üçüncü kişilere aktarılmışsa, bu durumu üçüncü kişiye bildirir; üçüncü kişi nezdinde gerekli işlemlerin yapılmasını temin eder.</w:t>
      </w:r>
    </w:p>
    <w:p w14:paraId="3F6EBFF2"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b) kişisel verileri işleme şartlarının tamamı ortadan kalkmamışsa, ilgili kişinin talebini Kanun'un 13'üncü maddesinin üçüncü fıkrası uyarınca gerekçesini açıklayarak reddedilebilir ve ret cevabını ilgili kişiye en geç otuz gün içinde yazılı olarak ya da elektronik ortamda bildirir.</w:t>
      </w:r>
    </w:p>
    <w:p w14:paraId="16C68ED8" w14:textId="77777777" w:rsidR="00847FA1" w:rsidRPr="00847FA1" w:rsidRDefault="00847FA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Başvuru süreçleri için NUUP Hotel web sitesi üzerinden KVKK Başvuru formu doldurularak talep edilmesi halinde saklama ve imha sürelerine dair bilgilere erişilebilecektir.</w:t>
      </w:r>
    </w:p>
    <w:p w14:paraId="2C307DBE" w14:textId="77777777" w:rsidR="00915211" w:rsidRPr="00915211" w:rsidRDefault="00915211" w:rsidP="00847FA1">
      <w:pPr>
        <w:pStyle w:val="Balk1"/>
        <w:numPr>
          <w:ilvl w:val="0"/>
          <w:numId w:val="3"/>
        </w:numPr>
        <w:tabs>
          <w:tab w:val="left" w:pos="9923"/>
        </w:tabs>
        <w:spacing w:before="120" w:after="120"/>
        <w:ind w:left="284"/>
        <w:rPr>
          <w:rFonts w:asciiTheme="minorHAnsi" w:hAnsiTheme="minorHAnsi" w:cstheme="minorHAnsi"/>
          <w:noProof/>
          <w:szCs w:val="22"/>
        </w:rPr>
      </w:pPr>
      <w:r>
        <w:rPr>
          <w:rFonts w:asciiTheme="minorHAnsi" w:hAnsiTheme="minorHAnsi" w:cstheme="minorHAnsi"/>
          <w:noProof/>
          <w:szCs w:val="22"/>
        </w:rPr>
        <w:t>REFERANS DOKÜMANLAR</w:t>
      </w:r>
      <w:bookmarkEnd w:id="7"/>
      <w:bookmarkEnd w:id="8"/>
      <w:bookmarkEnd w:id="9"/>
    </w:p>
    <w:p w14:paraId="5B5499C5" w14:textId="77777777" w:rsidR="00915211" w:rsidRPr="00915211" w:rsidRDefault="00915211" w:rsidP="00847FA1">
      <w:pPr>
        <w:pStyle w:val="ListeParagraf"/>
        <w:numPr>
          <w:ilvl w:val="0"/>
          <w:numId w:val="6"/>
        </w:numPr>
        <w:tabs>
          <w:tab w:val="left" w:pos="9923"/>
        </w:tabs>
        <w:spacing w:before="120" w:after="120" w:line="240" w:lineRule="auto"/>
        <w:ind w:left="284" w:hanging="284"/>
        <w:contextualSpacing w:val="0"/>
        <w:jc w:val="both"/>
        <w:rPr>
          <w:rFonts w:cstheme="minorHAnsi"/>
          <w:noProof/>
          <w:lang w:val="tr-TR"/>
        </w:rPr>
      </w:pPr>
      <w:r>
        <w:rPr>
          <w:rFonts w:cstheme="minorHAnsi"/>
          <w:noProof/>
          <w:lang w:val="tr-TR"/>
        </w:rPr>
        <w:t xml:space="preserve">6698 Sayılı Kişisel Verilerin Korunması Kanunu, </w:t>
      </w:r>
    </w:p>
    <w:p w14:paraId="579BF9CD" w14:textId="77777777" w:rsidR="00915211" w:rsidRPr="00915211" w:rsidRDefault="00915211" w:rsidP="00847FA1">
      <w:pPr>
        <w:pStyle w:val="ListeParagraf"/>
        <w:numPr>
          <w:ilvl w:val="0"/>
          <w:numId w:val="6"/>
        </w:numPr>
        <w:tabs>
          <w:tab w:val="left" w:pos="9923"/>
        </w:tabs>
        <w:spacing w:before="120" w:after="120" w:line="240" w:lineRule="auto"/>
        <w:ind w:left="284" w:hanging="284"/>
        <w:contextualSpacing w:val="0"/>
        <w:jc w:val="both"/>
        <w:rPr>
          <w:rFonts w:cstheme="minorHAnsi"/>
          <w:noProof/>
          <w:lang w:val="tr-TR"/>
        </w:rPr>
      </w:pPr>
      <w:r>
        <w:rPr>
          <w:rFonts w:cstheme="minorHAnsi"/>
          <w:noProof/>
          <w:lang w:val="tr-TR"/>
        </w:rPr>
        <w:t>Kişisel Verilerin Silinmesi, Yok Edilmesi veya Anonim Hale Getirilmesi Hakkında Yönetmelik.</w:t>
      </w:r>
    </w:p>
    <w:p w14:paraId="15CB0225" w14:textId="77777777" w:rsidR="00915211" w:rsidRPr="00915211" w:rsidRDefault="00915211" w:rsidP="00847FA1">
      <w:pPr>
        <w:pStyle w:val="ListeParagraf"/>
        <w:numPr>
          <w:ilvl w:val="0"/>
          <w:numId w:val="6"/>
        </w:numPr>
        <w:tabs>
          <w:tab w:val="left" w:pos="9923"/>
        </w:tabs>
        <w:spacing w:before="120" w:after="120" w:line="240" w:lineRule="auto"/>
        <w:ind w:left="284" w:hanging="284"/>
        <w:contextualSpacing w:val="0"/>
        <w:jc w:val="both"/>
        <w:rPr>
          <w:rFonts w:cstheme="minorHAnsi"/>
          <w:noProof/>
          <w:lang w:val="tr-TR"/>
        </w:rPr>
      </w:pPr>
      <w:r>
        <w:rPr>
          <w:rFonts w:cstheme="minorHAnsi"/>
          <w:noProof/>
          <w:lang w:val="tr-TR"/>
        </w:rPr>
        <w:t>Açık Rıza ve Aydınlatma Beyanı,</w:t>
      </w:r>
    </w:p>
    <w:p w14:paraId="281E02A9" w14:textId="77777777" w:rsidR="00C93357" w:rsidRDefault="00000000" w:rsidP="00847FA1">
      <w:pPr>
        <w:pStyle w:val="ListeParagraf"/>
        <w:numPr>
          <w:ilvl w:val="0"/>
          <w:numId w:val="6"/>
        </w:numPr>
        <w:tabs>
          <w:tab w:val="left" w:pos="9923"/>
        </w:tabs>
        <w:spacing w:before="120" w:after="120" w:line="240" w:lineRule="auto"/>
        <w:ind w:left="284" w:hanging="284"/>
        <w:contextualSpacing w:val="0"/>
        <w:jc w:val="both"/>
        <w:rPr>
          <w:rFonts w:cstheme="minorHAnsi"/>
          <w:noProof/>
          <w:lang w:val="tr-TR"/>
        </w:rPr>
      </w:pPr>
      <w:r>
        <w:rPr>
          <w:rFonts w:cstheme="minorHAnsi"/>
          <w:noProof/>
          <w:lang w:val="tr-TR"/>
        </w:rPr>
        <w:t>Kişisel Verileri Koruma Kurulunun kararları ve rehberleri (Kişisel Veri Güvenliği Rehberi dahil),</w:t>
      </w:r>
    </w:p>
    <w:p w14:paraId="2258D03C" w14:textId="77777777" w:rsidR="00C93357" w:rsidRDefault="00000000" w:rsidP="00847FA1">
      <w:pPr>
        <w:pStyle w:val="ListeParagraf"/>
        <w:numPr>
          <w:ilvl w:val="0"/>
          <w:numId w:val="6"/>
        </w:numPr>
        <w:tabs>
          <w:tab w:val="left" w:pos="9923"/>
        </w:tabs>
        <w:spacing w:before="120" w:after="120" w:line="240" w:lineRule="auto"/>
        <w:ind w:left="284" w:hanging="284"/>
        <w:contextualSpacing w:val="0"/>
        <w:jc w:val="both"/>
        <w:rPr>
          <w:rFonts w:cstheme="minorHAnsi"/>
          <w:noProof/>
          <w:lang w:val="tr-TR"/>
        </w:rPr>
      </w:pPr>
      <w:r>
        <w:rPr>
          <w:rFonts w:cstheme="minorHAnsi"/>
          <w:noProof/>
          <w:lang w:val="tr-TR"/>
        </w:rPr>
        <w:t>VERBİS (Veri Sorumluları Sicil Bilgi Sistemi) beyanı.</w:t>
      </w:r>
    </w:p>
    <w:p w14:paraId="4439422C" w14:textId="77777777" w:rsidR="00915211" w:rsidRPr="00915211" w:rsidRDefault="00915211" w:rsidP="00847FA1">
      <w:pPr>
        <w:pStyle w:val="Balk2"/>
        <w:numPr>
          <w:ilvl w:val="0"/>
          <w:numId w:val="3"/>
        </w:numPr>
        <w:tabs>
          <w:tab w:val="left" w:pos="9923"/>
        </w:tabs>
        <w:spacing w:before="120" w:after="120" w:line="240" w:lineRule="auto"/>
        <w:ind w:left="284"/>
        <w:jc w:val="both"/>
        <w:rPr>
          <w:rFonts w:cs="Calibri"/>
        </w:rPr>
      </w:pPr>
      <w:bookmarkStart w:id="10" w:name="_Toc219133890"/>
      <w:r>
        <w:rPr>
          <w:rFonts w:cs="Calibri"/>
        </w:rPr>
        <w:t>POLİTİKANIN YAYIMLANMASI VE GÜNCELLENMESİ</w:t>
      </w:r>
      <w:bookmarkEnd w:id="10"/>
    </w:p>
    <w:p w14:paraId="63AC6A8C" w14:textId="77777777" w:rsidR="00915211" w:rsidRPr="00915211" w:rsidRDefault="00915211" w:rsidP="00847FA1">
      <w:pPr>
        <w:pStyle w:val="GvdeMetni"/>
        <w:tabs>
          <w:tab w:val="left" w:pos="9923"/>
        </w:tabs>
        <w:spacing w:before="120" w:after="120"/>
        <w:jc w:val="both"/>
        <w:rPr>
          <w:rFonts w:asciiTheme="minorHAnsi" w:hAnsiTheme="minorHAnsi" w:cstheme="minorHAnsi"/>
          <w:bCs/>
          <w:w w:val="105"/>
          <w:szCs w:val="22"/>
        </w:rPr>
      </w:pPr>
      <w:r>
        <w:rPr>
          <w:rFonts w:asciiTheme="minorHAnsi" w:hAnsiTheme="minorHAnsi" w:cstheme="minorHAnsi"/>
          <w:bCs/>
          <w:w w:val="105"/>
          <w:szCs w:val="22"/>
        </w:rPr>
        <w:t>İşbu Politika Şirket’in internet sitesinde (</w:t>
      </w:r>
      <w:hyperlink r:id="rId12" w:history="1">
        <w:r>
          <w:rPr>
            <w:rStyle w:val="Kpr"/>
            <w:rFonts w:asciiTheme="minorHAnsi" w:hAnsiTheme="minorHAnsi" w:cstheme="minorHAnsi"/>
            <w:b/>
            <w:w w:val="105"/>
            <w:szCs w:val="22"/>
          </w:rPr>
          <w:t>www.nuup.com.tr</w:t>
        </w:r>
      </w:hyperlink>
      <w:r>
        <w:rPr>
          <w:rFonts w:asciiTheme="minorHAnsi" w:hAnsiTheme="minorHAnsi" w:cstheme="minorHAnsi"/>
          <w:b/>
          <w:color w:val="0070C0"/>
          <w:w w:val="105"/>
          <w:szCs w:val="22"/>
        </w:rPr>
        <w:t>)</w:t>
      </w:r>
      <w:r>
        <w:rPr>
          <w:rFonts w:asciiTheme="minorHAnsi" w:hAnsiTheme="minorHAnsi" w:cstheme="minorHAnsi"/>
          <w:bCs/>
          <w:w w:val="105"/>
          <w:szCs w:val="22"/>
        </w:rPr>
        <w:t xml:space="preserve"> yayınlanır ve talep üzerine kişisel veri sahiplerinin erişimine sunulur.</w:t>
      </w:r>
    </w:p>
    <w:p w14:paraId="228FF467" w14:textId="796E1BE7" w:rsidR="00915211" w:rsidRPr="005D0720" w:rsidRDefault="00915211" w:rsidP="00847FA1">
      <w:pPr>
        <w:pStyle w:val="Default"/>
        <w:tabs>
          <w:tab w:val="left" w:pos="9923"/>
        </w:tabs>
        <w:spacing w:before="120" w:after="120"/>
        <w:ind w:right="424"/>
        <w:jc w:val="both"/>
        <w:rPr>
          <w:rFonts w:asciiTheme="minorHAnsi" w:hAnsiTheme="minorHAnsi" w:cstheme="minorHAnsi"/>
          <w:noProof/>
          <w:lang w:val="tr-TR"/>
        </w:rPr>
      </w:pPr>
      <w:r>
        <w:rPr>
          <w:rFonts w:asciiTheme="minorHAnsi" w:hAnsiTheme="minorHAnsi" w:cstheme="minorHAnsi"/>
          <w:noProof/>
          <w:lang w:val="tr-TR"/>
        </w:rPr>
        <w:t>İşbu Politika gerek duyulan hallerde ve ihtiyaç halinde güncellenir ve değişiklik yine internet sitesinde yayınlanmak suretiyle yürürlüğe girer.</w:t>
      </w:r>
    </w:p>
    <w:sectPr w:rsidR="00915211" w:rsidRPr="005D0720" w:rsidSect="00805380">
      <w:headerReference w:type="even" r:id="rId13"/>
      <w:pgSz w:w="11906" w:h="16838"/>
      <w:pgMar w:top="851" w:right="849" w:bottom="851" w:left="709" w:header="709" w:footer="3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D710C" w14:textId="77777777" w:rsidR="00624405" w:rsidRPr="00B909CB" w:rsidRDefault="00624405">
      <w:r w:rsidRPr="00B909CB">
        <w:separator/>
      </w:r>
    </w:p>
  </w:endnote>
  <w:endnote w:type="continuationSeparator" w:id="0">
    <w:p w14:paraId="2BAFFDC6" w14:textId="77777777" w:rsidR="00624405" w:rsidRPr="00B909CB" w:rsidRDefault="00624405">
      <w:r w:rsidRPr="00B909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181E8" w14:textId="77777777" w:rsidR="00624405" w:rsidRPr="00B909CB" w:rsidRDefault="00624405">
      <w:r w:rsidRPr="00B909CB">
        <w:separator/>
      </w:r>
    </w:p>
  </w:footnote>
  <w:footnote w:type="continuationSeparator" w:id="0">
    <w:p w14:paraId="366A569E" w14:textId="77777777" w:rsidR="00624405" w:rsidRPr="00B909CB" w:rsidRDefault="00624405">
      <w:r w:rsidRPr="00B909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D361" w14:textId="77777777" w:rsidR="007715BA" w:rsidRPr="00B909CB" w:rsidRDefault="007715BA">
    <w:pPr>
      <w:pStyle w:val="stBilgi"/>
      <w:framePr w:wrap="around" w:vAnchor="text" w:hAnchor="margin" w:xAlign="right" w:y="1"/>
      <w:rPr>
        <w:rStyle w:val="SayfaNumaras"/>
      </w:rPr>
    </w:pPr>
    <w:r w:rsidRPr="00B909CB">
      <w:rPr>
        <w:rStyle w:val="SayfaNumaras"/>
      </w:rPr>
      <w:fldChar w:fldCharType="begin"/>
    </w:r>
    <w:r w:rsidRPr="00B909CB">
      <w:rPr>
        <w:rStyle w:val="SayfaNumaras"/>
      </w:rPr>
      <w:instrText xml:space="preserve">PAGE  </w:instrText>
    </w:r>
    <w:r w:rsidRPr="00B909CB">
      <w:rPr>
        <w:rStyle w:val="SayfaNumaras"/>
      </w:rPr>
      <w:fldChar w:fldCharType="separate"/>
    </w:r>
    <w:r w:rsidRPr="00B909CB">
      <w:rPr>
        <w:rStyle w:val="SayfaNumaras"/>
      </w:rPr>
      <w:t>0</w:t>
    </w:r>
    <w:r w:rsidRPr="00B909CB">
      <w:rPr>
        <w:rStyle w:val="SayfaNumaras"/>
      </w:rPr>
      <w:fldChar w:fldCharType="end"/>
    </w:r>
  </w:p>
  <w:p w14:paraId="6784E9B5" w14:textId="77777777" w:rsidR="007715BA" w:rsidRPr="00B909CB" w:rsidRDefault="007715BA">
    <w:pPr>
      <w:pStyle w:val="stBilgi"/>
      <w:ind w:right="360"/>
    </w:pPr>
  </w:p>
  <w:p w14:paraId="7106AACE" w14:textId="77777777" w:rsidR="00597D5F" w:rsidRPr="00B909CB" w:rsidRDefault="00597D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A1D25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D398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75CBB"/>
    <w:multiLevelType w:val="hybridMultilevel"/>
    <w:tmpl w:val="83EEBA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5D27C3D"/>
    <w:multiLevelType w:val="multilevel"/>
    <w:tmpl w:val="7708DF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asciiTheme="minorHAnsi" w:hAnsiTheme="minorHAnsi" w:cstheme="minorHAnsi" w:hint="default"/>
        <w:b/>
        <w:bCs/>
        <w:sz w:val="24"/>
        <w:szCs w:val="24"/>
      </w:rPr>
    </w:lvl>
    <w:lvl w:ilvl="4">
      <w:start w:val="1"/>
      <w:numFmt w:val="decimal"/>
      <w:isLgl/>
      <w:lvlText w:val="%1.%2.%3.%4.%5."/>
      <w:lvlJc w:val="left"/>
      <w:pPr>
        <w:ind w:left="1440" w:hanging="1080"/>
      </w:pPr>
      <w:rPr>
        <w:rFonts w:hint="default"/>
        <w:b/>
        <w:bCs/>
        <w:sz w:val="24"/>
        <w:szCs w:val="24"/>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421EF9"/>
    <w:multiLevelType w:val="multilevel"/>
    <w:tmpl w:val="A5900FC6"/>
    <w:lvl w:ilvl="0">
      <w:start w:val="1"/>
      <w:numFmt w:val="decimal"/>
      <w:lvlText w:val="%1."/>
      <w:lvlJc w:val="left"/>
      <w:pPr>
        <w:ind w:left="1364" w:hanging="360"/>
      </w:pPr>
      <w:rPr>
        <w:rFonts w:hint="default"/>
      </w:rPr>
    </w:lvl>
    <w:lvl w:ilvl="1">
      <w:start w:val="1"/>
      <w:numFmt w:val="decimal"/>
      <w:pStyle w:val="Balk2"/>
      <w:lvlText w:val="6.%2"/>
      <w:lvlJc w:val="left"/>
      <w:pPr>
        <w:ind w:left="1724" w:hanging="360"/>
      </w:pPr>
      <w:rPr>
        <w:rFonts w:hint="default"/>
      </w:rPr>
    </w:lvl>
    <w:lvl w:ilvl="2">
      <w:start w:val="1"/>
      <w:numFmt w:val="decimal"/>
      <w:lvlText w:val="%1.%2.%3."/>
      <w:lvlJc w:val="left"/>
      <w:pPr>
        <w:ind w:left="2228" w:hanging="504"/>
      </w:pPr>
      <w:rPr>
        <w:rFonts w:hint="default"/>
      </w:rPr>
    </w:lvl>
    <w:lvl w:ilvl="3">
      <w:start w:val="1"/>
      <w:numFmt w:val="decimal"/>
      <w:lvlText w:val="%1.%2.%3.%4."/>
      <w:lvlJc w:val="left"/>
      <w:pPr>
        <w:ind w:left="2732" w:hanging="648"/>
      </w:pPr>
      <w:rPr>
        <w:rFonts w:hint="default"/>
      </w:rPr>
    </w:lvl>
    <w:lvl w:ilvl="4">
      <w:start w:val="1"/>
      <w:numFmt w:val="decimal"/>
      <w:lvlText w:val="%1.%2.%3.%4.%5."/>
      <w:lvlJc w:val="left"/>
      <w:pPr>
        <w:ind w:left="3236" w:hanging="792"/>
      </w:pPr>
      <w:rPr>
        <w:rFonts w:hint="default"/>
      </w:rPr>
    </w:lvl>
    <w:lvl w:ilvl="5">
      <w:start w:val="1"/>
      <w:numFmt w:val="decimal"/>
      <w:lvlText w:val="%1.%2.%3.%4.%5.%6."/>
      <w:lvlJc w:val="left"/>
      <w:pPr>
        <w:ind w:left="3740" w:hanging="936"/>
      </w:pPr>
      <w:rPr>
        <w:rFonts w:hint="default"/>
      </w:rPr>
    </w:lvl>
    <w:lvl w:ilvl="6">
      <w:start w:val="1"/>
      <w:numFmt w:val="decimal"/>
      <w:lvlText w:val="%1.%2.%3.%4.%5.%6.%7."/>
      <w:lvlJc w:val="left"/>
      <w:pPr>
        <w:ind w:left="4244" w:hanging="1080"/>
      </w:pPr>
      <w:rPr>
        <w:rFonts w:hint="default"/>
      </w:rPr>
    </w:lvl>
    <w:lvl w:ilvl="7">
      <w:start w:val="1"/>
      <w:numFmt w:val="decimal"/>
      <w:lvlText w:val="%1.%2.%3.%4.%5.%6.%7.%8."/>
      <w:lvlJc w:val="left"/>
      <w:pPr>
        <w:ind w:left="4748" w:hanging="1224"/>
      </w:pPr>
      <w:rPr>
        <w:rFonts w:hint="default"/>
      </w:rPr>
    </w:lvl>
    <w:lvl w:ilvl="8">
      <w:start w:val="1"/>
      <w:numFmt w:val="decimal"/>
      <w:lvlText w:val="%1.%2.%3.%4.%5.%6.%7.%8.%9."/>
      <w:lvlJc w:val="left"/>
      <w:pPr>
        <w:ind w:left="5324" w:hanging="1440"/>
      </w:pPr>
      <w:rPr>
        <w:rFonts w:hint="default"/>
      </w:rPr>
    </w:lvl>
  </w:abstractNum>
  <w:abstractNum w:abstractNumId="5" w15:restartNumberingAfterBreak="0">
    <w:nsid w:val="3AB20924"/>
    <w:multiLevelType w:val="multilevel"/>
    <w:tmpl w:val="DFDA6EDE"/>
    <w:lvl w:ilvl="0">
      <w:start w:val="1"/>
      <w:numFmt w:val="decimal"/>
      <w:pStyle w:val="Balk1"/>
      <w:lvlText w:val="%1."/>
      <w:lvlJc w:val="left"/>
      <w:pPr>
        <w:ind w:left="644"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8A64FB8"/>
    <w:multiLevelType w:val="hybridMultilevel"/>
    <w:tmpl w:val="39FCEA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1596121">
    <w:abstractNumId w:val="5"/>
  </w:num>
  <w:num w:numId="2" w16cid:durableId="492532066">
    <w:abstractNumId w:val="4"/>
  </w:num>
  <w:num w:numId="3" w16cid:durableId="1628899765">
    <w:abstractNumId w:val="3"/>
  </w:num>
  <w:num w:numId="4" w16cid:durableId="2134517472">
    <w:abstractNumId w:val="0"/>
  </w:num>
  <w:num w:numId="5" w16cid:durableId="473255601">
    <w:abstractNumId w:val="1"/>
  </w:num>
  <w:num w:numId="6" w16cid:durableId="1250233984">
    <w:abstractNumId w:val="6"/>
  </w:num>
  <w:num w:numId="7" w16cid:durableId="99491257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257"/>
    <w:rsid w:val="000000A7"/>
    <w:rsid w:val="00017C3F"/>
    <w:rsid w:val="00037F67"/>
    <w:rsid w:val="000509BB"/>
    <w:rsid w:val="000825E4"/>
    <w:rsid w:val="00095CD2"/>
    <w:rsid w:val="000A67E7"/>
    <w:rsid w:val="000A7BA8"/>
    <w:rsid w:val="000C4E54"/>
    <w:rsid w:val="000D7237"/>
    <w:rsid w:val="00105201"/>
    <w:rsid w:val="0010758D"/>
    <w:rsid w:val="001156F4"/>
    <w:rsid w:val="00152867"/>
    <w:rsid w:val="001559ED"/>
    <w:rsid w:val="00166445"/>
    <w:rsid w:val="001732B9"/>
    <w:rsid w:val="00175AF6"/>
    <w:rsid w:val="001854A7"/>
    <w:rsid w:val="0018557D"/>
    <w:rsid w:val="00185F32"/>
    <w:rsid w:val="001A0292"/>
    <w:rsid w:val="001B0829"/>
    <w:rsid w:val="001C55C0"/>
    <w:rsid w:val="001C726B"/>
    <w:rsid w:val="001E6EAC"/>
    <w:rsid w:val="002171D7"/>
    <w:rsid w:val="00217818"/>
    <w:rsid w:val="00220829"/>
    <w:rsid w:val="00236DE2"/>
    <w:rsid w:val="00241C73"/>
    <w:rsid w:val="0025397F"/>
    <w:rsid w:val="002816E4"/>
    <w:rsid w:val="002A55CD"/>
    <w:rsid w:val="002B51AA"/>
    <w:rsid w:val="002B7121"/>
    <w:rsid w:val="002C28E0"/>
    <w:rsid w:val="002C382D"/>
    <w:rsid w:val="002C4108"/>
    <w:rsid w:val="002E13D4"/>
    <w:rsid w:val="002E2EDA"/>
    <w:rsid w:val="002E58D4"/>
    <w:rsid w:val="002F294D"/>
    <w:rsid w:val="002F3F17"/>
    <w:rsid w:val="00300621"/>
    <w:rsid w:val="003055D4"/>
    <w:rsid w:val="003158C3"/>
    <w:rsid w:val="00317812"/>
    <w:rsid w:val="003251B7"/>
    <w:rsid w:val="00333ED9"/>
    <w:rsid w:val="0034293D"/>
    <w:rsid w:val="003458D0"/>
    <w:rsid w:val="0036201F"/>
    <w:rsid w:val="00364CEA"/>
    <w:rsid w:val="00370133"/>
    <w:rsid w:val="003979CF"/>
    <w:rsid w:val="003A68BF"/>
    <w:rsid w:val="003B28E6"/>
    <w:rsid w:val="003B37BD"/>
    <w:rsid w:val="003B7B5A"/>
    <w:rsid w:val="003E6024"/>
    <w:rsid w:val="0040352D"/>
    <w:rsid w:val="004262BE"/>
    <w:rsid w:val="0045424C"/>
    <w:rsid w:val="004623F4"/>
    <w:rsid w:val="004D219B"/>
    <w:rsid w:val="004F2004"/>
    <w:rsid w:val="005143AD"/>
    <w:rsid w:val="00520AF1"/>
    <w:rsid w:val="005233F8"/>
    <w:rsid w:val="005470C6"/>
    <w:rsid w:val="00551129"/>
    <w:rsid w:val="005618A5"/>
    <w:rsid w:val="0057468D"/>
    <w:rsid w:val="00597D5F"/>
    <w:rsid w:val="005A252C"/>
    <w:rsid w:val="005A2E98"/>
    <w:rsid w:val="005A645A"/>
    <w:rsid w:val="005B15F8"/>
    <w:rsid w:val="005D0720"/>
    <w:rsid w:val="005D69C3"/>
    <w:rsid w:val="005E4082"/>
    <w:rsid w:val="005F5B48"/>
    <w:rsid w:val="00617117"/>
    <w:rsid w:val="00624405"/>
    <w:rsid w:val="00642DB9"/>
    <w:rsid w:val="006448A6"/>
    <w:rsid w:val="00651D38"/>
    <w:rsid w:val="00657BA2"/>
    <w:rsid w:val="006718C0"/>
    <w:rsid w:val="006A687D"/>
    <w:rsid w:val="006F7CFF"/>
    <w:rsid w:val="00711FCB"/>
    <w:rsid w:val="00720E8A"/>
    <w:rsid w:val="007427B8"/>
    <w:rsid w:val="00745F94"/>
    <w:rsid w:val="00753126"/>
    <w:rsid w:val="007646D8"/>
    <w:rsid w:val="007715BA"/>
    <w:rsid w:val="00784FFB"/>
    <w:rsid w:val="00791F9A"/>
    <w:rsid w:val="00792530"/>
    <w:rsid w:val="00794886"/>
    <w:rsid w:val="00795224"/>
    <w:rsid w:val="00796D45"/>
    <w:rsid w:val="007C2E13"/>
    <w:rsid w:val="007D2057"/>
    <w:rsid w:val="007E30F7"/>
    <w:rsid w:val="007F11F2"/>
    <w:rsid w:val="007F3724"/>
    <w:rsid w:val="007F4A66"/>
    <w:rsid w:val="007F5502"/>
    <w:rsid w:val="008044E9"/>
    <w:rsid w:val="00805380"/>
    <w:rsid w:val="00847DB1"/>
    <w:rsid w:val="00847FA1"/>
    <w:rsid w:val="008543D2"/>
    <w:rsid w:val="00857D7D"/>
    <w:rsid w:val="00891DB8"/>
    <w:rsid w:val="00891FDB"/>
    <w:rsid w:val="008A4507"/>
    <w:rsid w:val="008B3D0C"/>
    <w:rsid w:val="008B5AB1"/>
    <w:rsid w:val="008B5FB3"/>
    <w:rsid w:val="008C47EF"/>
    <w:rsid w:val="008C7F74"/>
    <w:rsid w:val="008D42D9"/>
    <w:rsid w:val="008F2882"/>
    <w:rsid w:val="008F68DF"/>
    <w:rsid w:val="009102AA"/>
    <w:rsid w:val="00915211"/>
    <w:rsid w:val="00920D98"/>
    <w:rsid w:val="00926C03"/>
    <w:rsid w:val="00927191"/>
    <w:rsid w:val="00956A59"/>
    <w:rsid w:val="0095735D"/>
    <w:rsid w:val="00976D64"/>
    <w:rsid w:val="00990054"/>
    <w:rsid w:val="00997EE2"/>
    <w:rsid w:val="009A7331"/>
    <w:rsid w:val="009B0016"/>
    <w:rsid w:val="009B5113"/>
    <w:rsid w:val="009C512F"/>
    <w:rsid w:val="009D08CB"/>
    <w:rsid w:val="009D110E"/>
    <w:rsid w:val="009E5294"/>
    <w:rsid w:val="009F23B9"/>
    <w:rsid w:val="00A10397"/>
    <w:rsid w:val="00A257BA"/>
    <w:rsid w:val="00A26D7C"/>
    <w:rsid w:val="00A271DB"/>
    <w:rsid w:val="00A30E4F"/>
    <w:rsid w:val="00A40108"/>
    <w:rsid w:val="00A4742F"/>
    <w:rsid w:val="00A82906"/>
    <w:rsid w:val="00A87B2C"/>
    <w:rsid w:val="00A92D3E"/>
    <w:rsid w:val="00A93ACB"/>
    <w:rsid w:val="00A94794"/>
    <w:rsid w:val="00AD31DE"/>
    <w:rsid w:val="00AE0178"/>
    <w:rsid w:val="00B10C82"/>
    <w:rsid w:val="00B316C0"/>
    <w:rsid w:val="00B513B7"/>
    <w:rsid w:val="00B661F9"/>
    <w:rsid w:val="00B81044"/>
    <w:rsid w:val="00B909CB"/>
    <w:rsid w:val="00B91084"/>
    <w:rsid w:val="00BA34DF"/>
    <w:rsid w:val="00BB080A"/>
    <w:rsid w:val="00BB397A"/>
    <w:rsid w:val="00BB68C1"/>
    <w:rsid w:val="00BB7BD0"/>
    <w:rsid w:val="00BC07C7"/>
    <w:rsid w:val="00BD166C"/>
    <w:rsid w:val="00BD3040"/>
    <w:rsid w:val="00BE02AE"/>
    <w:rsid w:val="00BE0CF8"/>
    <w:rsid w:val="00BE4A0E"/>
    <w:rsid w:val="00C15577"/>
    <w:rsid w:val="00C221B8"/>
    <w:rsid w:val="00C3175D"/>
    <w:rsid w:val="00C4449C"/>
    <w:rsid w:val="00C60DDB"/>
    <w:rsid w:val="00C71D25"/>
    <w:rsid w:val="00C7229C"/>
    <w:rsid w:val="00C74257"/>
    <w:rsid w:val="00C83133"/>
    <w:rsid w:val="00C842B5"/>
    <w:rsid w:val="00C93357"/>
    <w:rsid w:val="00C94FD3"/>
    <w:rsid w:val="00CD7B82"/>
    <w:rsid w:val="00CE11B4"/>
    <w:rsid w:val="00CE4BAA"/>
    <w:rsid w:val="00D27696"/>
    <w:rsid w:val="00D405B6"/>
    <w:rsid w:val="00D40EFB"/>
    <w:rsid w:val="00D43D57"/>
    <w:rsid w:val="00D54CD0"/>
    <w:rsid w:val="00D67937"/>
    <w:rsid w:val="00D834B1"/>
    <w:rsid w:val="00DA2E36"/>
    <w:rsid w:val="00DE085C"/>
    <w:rsid w:val="00DF076E"/>
    <w:rsid w:val="00E02D52"/>
    <w:rsid w:val="00E11A21"/>
    <w:rsid w:val="00E13BE1"/>
    <w:rsid w:val="00E221E7"/>
    <w:rsid w:val="00E35C54"/>
    <w:rsid w:val="00E63949"/>
    <w:rsid w:val="00E72CC9"/>
    <w:rsid w:val="00E74B44"/>
    <w:rsid w:val="00E82EA8"/>
    <w:rsid w:val="00EA0D2B"/>
    <w:rsid w:val="00EB5878"/>
    <w:rsid w:val="00EE023B"/>
    <w:rsid w:val="00F246DF"/>
    <w:rsid w:val="00F356DE"/>
    <w:rsid w:val="00F3767B"/>
    <w:rsid w:val="00F5357B"/>
    <w:rsid w:val="00F57AF5"/>
    <w:rsid w:val="00F83707"/>
    <w:rsid w:val="00FA0493"/>
    <w:rsid w:val="00FA2774"/>
    <w:rsid w:val="00FA2BE3"/>
    <w:rsid w:val="00FB36F5"/>
    <w:rsid w:val="00FC09B7"/>
    <w:rsid w:val="00FD5EE8"/>
    <w:rsid w:val="00FE24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335A4"/>
  <w15:chartTrackingRefBased/>
  <w15:docId w15:val="{A3429391-3EBB-463E-9265-94DC0F83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6"/>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7B2C"/>
    <w:rPr>
      <w:rFonts w:ascii="Calibri" w:hAnsi="Calibri"/>
      <w:sz w:val="22"/>
    </w:rPr>
  </w:style>
  <w:style w:type="paragraph" w:styleId="Balk1">
    <w:name w:val="heading 1"/>
    <w:basedOn w:val="Normal"/>
    <w:next w:val="Normal"/>
    <w:uiPriority w:val="9"/>
    <w:qFormat/>
    <w:rsid w:val="00FD5EE8"/>
    <w:pPr>
      <w:keepNext/>
      <w:numPr>
        <w:numId w:val="1"/>
      </w:numPr>
      <w:jc w:val="both"/>
      <w:outlineLvl w:val="0"/>
    </w:pPr>
    <w:rPr>
      <w:b/>
    </w:rPr>
  </w:style>
  <w:style w:type="paragraph" w:styleId="Balk2">
    <w:name w:val="heading 2"/>
    <w:basedOn w:val="Normal"/>
    <w:next w:val="Normal"/>
    <w:link w:val="Balk2Char"/>
    <w:qFormat/>
    <w:rsid w:val="00E221E7"/>
    <w:pPr>
      <w:keepNext/>
      <w:numPr>
        <w:ilvl w:val="1"/>
        <w:numId w:val="2"/>
      </w:numPr>
      <w:spacing w:line="360" w:lineRule="auto"/>
      <w:outlineLvl w:val="1"/>
    </w:pPr>
    <w:rPr>
      <w:b/>
    </w:rPr>
  </w:style>
  <w:style w:type="paragraph" w:styleId="Balk3">
    <w:name w:val="heading 3"/>
    <w:basedOn w:val="Normal"/>
    <w:next w:val="Normal"/>
    <w:link w:val="Balk3Char"/>
    <w:qFormat/>
    <w:pPr>
      <w:keepNext/>
      <w:widowControl w:val="0"/>
      <w:spacing w:before="120" w:after="120"/>
      <w:ind w:left="1276" w:right="284"/>
      <w:jc w:val="both"/>
      <w:outlineLvl w:val="2"/>
    </w:pPr>
    <w:rPr>
      <w:rFonts w:ascii="Arial" w:hAnsi="Arial" w:cs="Arial"/>
    </w:rPr>
  </w:style>
  <w:style w:type="paragraph" w:styleId="Balk4">
    <w:name w:val="heading 4"/>
    <w:basedOn w:val="Normal"/>
    <w:next w:val="Normal"/>
    <w:qFormat/>
    <w:pPr>
      <w:keepNext/>
      <w:widowControl w:val="0"/>
      <w:spacing w:before="120" w:after="120"/>
      <w:ind w:left="336" w:right="284"/>
      <w:jc w:val="both"/>
      <w:outlineLvl w:val="3"/>
    </w:pPr>
    <w:rPr>
      <w:rFonts w:ascii="Arial" w:hAnsi="Arial" w:cs="Arial"/>
    </w:rPr>
  </w:style>
  <w:style w:type="paragraph" w:styleId="Balk5">
    <w:name w:val="heading 5"/>
    <w:basedOn w:val="Normal"/>
    <w:next w:val="Normal"/>
    <w:qFormat/>
    <w:pPr>
      <w:keepNext/>
      <w:jc w:val="center"/>
      <w:outlineLvl w:val="4"/>
    </w:pPr>
    <w:rPr>
      <w:rFonts w:ascii="Arial" w:hAnsi="Arial"/>
      <w:b/>
    </w:rPr>
  </w:style>
  <w:style w:type="paragraph" w:styleId="Balk6">
    <w:name w:val="heading 6"/>
    <w:basedOn w:val="Normal"/>
    <w:next w:val="Normal"/>
    <w:qFormat/>
    <w:pPr>
      <w:keepNext/>
      <w:autoSpaceDE w:val="0"/>
      <w:autoSpaceDN w:val="0"/>
      <w:ind w:right="566"/>
      <w:jc w:val="both"/>
      <w:outlineLvl w:val="5"/>
    </w:pPr>
    <w:rPr>
      <w:rFonts w:ascii="Tahoma" w:eastAsia="Arial Unicode MS" w:hAnsi="Tahoma"/>
      <w:b/>
    </w:rPr>
  </w:style>
  <w:style w:type="paragraph" w:styleId="Balk7">
    <w:name w:val="heading 7"/>
    <w:basedOn w:val="Normal"/>
    <w:next w:val="Normal"/>
    <w:qFormat/>
    <w:pPr>
      <w:keepNext/>
      <w:spacing w:before="120" w:after="120"/>
      <w:jc w:val="both"/>
      <w:outlineLvl w:val="6"/>
    </w:pPr>
    <w:rPr>
      <w:rFonts w:ascii="Arial" w:hAnsi="Arial" w:cs="Arial"/>
      <w:b/>
      <w:bCs/>
      <w:cap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pPr>
      <w:tabs>
        <w:tab w:val="center" w:pos="4536"/>
        <w:tab w:val="right" w:pos="9072"/>
      </w:tabs>
    </w:pPr>
  </w:style>
  <w:style w:type="paragraph" w:styleId="GvdeMetni">
    <w:name w:val="Body Text"/>
    <w:basedOn w:val="Normal"/>
  </w:style>
  <w:style w:type="character" w:styleId="SayfaNumaras">
    <w:name w:val="page number"/>
    <w:basedOn w:val="VarsaylanParagrafYazTipi"/>
  </w:style>
  <w:style w:type="paragraph" w:styleId="Liste">
    <w:name w:val="List"/>
    <w:basedOn w:val="Normal"/>
    <w:pPr>
      <w:ind w:left="425" w:hanging="425"/>
      <w:jc w:val="both"/>
    </w:pPr>
    <w:rPr>
      <w:lang w:val="en-US"/>
    </w:rPr>
  </w:style>
  <w:style w:type="paragraph" w:styleId="GvdeMetni3">
    <w:name w:val="Body Text 3"/>
    <w:basedOn w:val="Normal"/>
    <w:pPr>
      <w:jc w:val="center"/>
    </w:pPr>
  </w:style>
  <w:style w:type="paragraph" w:styleId="bekMetni">
    <w:name w:val="Block Text"/>
    <w:basedOn w:val="Normal"/>
    <w:pPr>
      <w:widowControl w:val="0"/>
      <w:ind w:left="851" w:right="-374"/>
      <w:jc w:val="both"/>
    </w:pPr>
    <w:rPr>
      <w:rFonts w:ascii="Arial" w:hAnsi="Arial" w:cs="Arial"/>
    </w:rPr>
  </w:style>
  <w:style w:type="paragraph" w:styleId="BalonMetni">
    <w:name w:val="Balloon Text"/>
    <w:basedOn w:val="Normal"/>
    <w:semiHidden/>
    <w:rPr>
      <w:rFonts w:ascii="Tahoma" w:hAnsi="Tahoma" w:cs="Tahoma"/>
      <w:sz w:val="16"/>
      <w:szCs w:val="16"/>
    </w:rPr>
  </w:style>
  <w:style w:type="paragraph" w:customStyle="1" w:styleId="KlavuzTablo31">
    <w:name w:val="Kılavuz Tablo 31"/>
    <w:basedOn w:val="Balk1"/>
    <w:next w:val="Normal"/>
    <w:uiPriority w:val="39"/>
    <w:unhideWhenUsed/>
    <w:qFormat/>
    <w:rsid w:val="00A87B2C"/>
    <w:pPr>
      <w:keepLines/>
      <w:numPr>
        <w:numId w:val="0"/>
      </w:numPr>
      <w:spacing w:before="480" w:line="276" w:lineRule="auto"/>
      <w:jc w:val="left"/>
      <w:outlineLvl w:val="9"/>
    </w:pPr>
    <w:rPr>
      <w:rFonts w:ascii="Calibri Light" w:hAnsi="Calibri Light"/>
      <w:bCs/>
      <w:color w:val="2E74B5"/>
      <w:sz w:val="28"/>
      <w:szCs w:val="28"/>
    </w:rPr>
  </w:style>
  <w:style w:type="paragraph" w:styleId="T1">
    <w:name w:val="toc 1"/>
    <w:basedOn w:val="Normal"/>
    <w:next w:val="Normal"/>
    <w:autoRedefine/>
    <w:uiPriority w:val="39"/>
    <w:rsid w:val="00A87B2C"/>
    <w:pPr>
      <w:spacing w:before="120"/>
    </w:pPr>
    <w:rPr>
      <w:b/>
      <w:bCs/>
      <w:szCs w:val="24"/>
    </w:rPr>
  </w:style>
  <w:style w:type="paragraph" w:styleId="T2">
    <w:name w:val="toc 2"/>
    <w:basedOn w:val="Normal"/>
    <w:next w:val="Normal"/>
    <w:autoRedefine/>
    <w:uiPriority w:val="39"/>
    <w:rsid w:val="00A87B2C"/>
    <w:pPr>
      <w:ind w:left="200"/>
    </w:pPr>
    <w:rPr>
      <w:b/>
      <w:bCs/>
      <w:szCs w:val="22"/>
    </w:rPr>
  </w:style>
  <w:style w:type="character" w:styleId="Kpr">
    <w:name w:val="Hyperlink"/>
    <w:uiPriority w:val="99"/>
    <w:unhideWhenUsed/>
    <w:rsid w:val="00A87B2C"/>
    <w:rPr>
      <w:color w:val="0563C1"/>
      <w:u w:val="single"/>
    </w:rPr>
  </w:style>
  <w:style w:type="paragraph" w:styleId="T3">
    <w:name w:val="toc 3"/>
    <w:basedOn w:val="Normal"/>
    <w:next w:val="Normal"/>
    <w:autoRedefine/>
    <w:uiPriority w:val="39"/>
    <w:rsid w:val="00A87B2C"/>
    <w:pPr>
      <w:ind w:left="400"/>
    </w:pPr>
    <w:rPr>
      <w:szCs w:val="22"/>
    </w:rPr>
  </w:style>
  <w:style w:type="paragraph" w:styleId="T4">
    <w:name w:val="toc 4"/>
    <w:basedOn w:val="Normal"/>
    <w:next w:val="Normal"/>
    <w:autoRedefine/>
    <w:rsid w:val="00A87B2C"/>
    <w:pPr>
      <w:ind w:left="600"/>
    </w:pPr>
  </w:style>
  <w:style w:type="paragraph" w:styleId="T5">
    <w:name w:val="toc 5"/>
    <w:basedOn w:val="Normal"/>
    <w:next w:val="Normal"/>
    <w:autoRedefine/>
    <w:rsid w:val="00A87B2C"/>
    <w:pPr>
      <w:ind w:left="800"/>
    </w:pPr>
  </w:style>
  <w:style w:type="paragraph" w:styleId="T6">
    <w:name w:val="toc 6"/>
    <w:basedOn w:val="Normal"/>
    <w:next w:val="Normal"/>
    <w:autoRedefine/>
    <w:rsid w:val="00A87B2C"/>
    <w:pPr>
      <w:ind w:left="1000"/>
    </w:pPr>
  </w:style>
  <w:style w:type="paragraph" w:styleId="T7">
    <w:name w:val="toc 7"/>
    <w:basedOn w:val="Normal"/>
    <w:next w:val="Normal"/>
    <w:autoRedefine/>
    <w:rsid w:val="00A87B2C"/>
    <w:pPr>
      <w:ind w:left="1200"/>
    </w:pPr>
  </w:style>
  <w:style w:type="paragraph" w:styleId="T8">
    <w:name w:val="toc 8"/>
    <w:basedOn w:val="Normal"/>
    <w:next w:val="Normal"/>
    <w:autoRedefine/>
    <w:rsid w:val="00A87B2C"/>
    <w:pPr>
      <w:ind w:left="1400"/>
    </w:pPr>
  </w:style>
  <w:style w:type="paragraph" w:styleId="T9">
    <w:name w:val="toc 9"/>
    <w:basedOn w:val="Normal"/>
    <w:next w:val="Normal"/>
    <w:autoRedefine/>
    <w:rsid w:val="00A87B2C"/>
    <w:pPr>
      <w:ind w:left="1600"/>
    </w:pPr>
  </w:style>
  <w:style w:type="paragraph" w:customStyle="1" w:styleId="RenkliListe-Vurgu11">
    <w:name w:val="Renkli Liste - Vurgu 11"/>
    <w:basedOn w:val="Normal"/>
    <w:uiPriority w:val="99"/>
    <w:qFormat/>
    <w:rsid w:val="00A87B2C"/>
    <w:pPr>
      <w:ind w:left="708"/>
    </w:pPr>
  </w:style>
  <w:style w:type="paragraph" w:customStyle="1" w:styleId="RenkliKlavuz-Vurgu11">
    <w:name w:val="Renkli Kılavuz - Vurgu 11"/>
    <w:basedOn w:val="Normal"/>
    <w:next w:val="Normal"/>
    <w:link w:val="ColorfulGrid-Accent1Char"/>
    <w:uiPriority w:val="29"/>
    <w:qFormat/>
    <w:rsid w:val="00A87B2C"/>
    <w:pPr>
      <w:spacing w:before="200" w:after="160"/>
      <w:ind w:left="864" w:right="864"/>
      <w:jc w:val="center"/>
    </w:pPr>
    <w:rPr>
      <w:i/>
      <w:iCs/>
      <w:color w:val="404040"/>
    </w:rPr>
  </w:style>
  <w:style w:type="character" w:customStyle="1" w:styleId="ColorfulGrid-Accent1Char">
    <w:name w:val="Colorful Grid - Accent 1 Char"/>
    <w:link w:val="RenkliKlavuz-Vurgu11"/>
    <w:uiPriority w:val="29"/>
    <w:rsid w:val="00A87B2C"/>
    <w:rPr>
      <w:rFonts w:ascii="Calibri" w:hAnsi="Calibri"/>
      <w:i/>
      <w:iCs/>
      <w:color w:val="404040"/>
    </w:rPr>
  </w:style>
  <w:style w:type="table" w:styleId="TabloKlavuzu">
    <w:name w:val="Table Grid"/>
    <w:basedOn w:val="NormalTablo"/>
    <w:uiPriority w:val="39"/>
    <w:rsid w:val="0018557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920D98"/>
    <w:rPr>
      <w:rFonts w:ascii="Calibri" w:hAnsi="Calibri"/>
      <w:sz w:val="24"/>
    </w:rPr>
  </w:style>
  <w:style w:type="paragraph" w:styleId="ListeParagraf">
    <w:name w:val="List Paragraph"/>
    <w:aliases w:val="AK List num"/>
    <w:basedOn w:val="Normal"/>
    <w:link w:val="ListeParagrafChar"/>
    <w:uiPriority w:val="34"/>
    <w:qFormat/>
    <w:rsid w:val="004F2004"/>
    <w:pPr>
      <w:spacing w:after="200" w:line="276" w:lineRule="auto"/>
      <w:ind w:left="720"/>
      <w:contextualSpacing/>
    </w:pPr>
    <w:rPr>
      <w:rFonts w:asciiTheme="minorHAnsi" w:eastAsiaTheme="minorHAnsi" w:hAnsiTheme="minorHAnsi" w:cstheme="minorBidi"/>
      <w:szCs w:val="22"/>
      <w:lang w:val="en-US" w:eastAsia="en-US"/>
    </w:rPr>
  </w:style>
  <w:style w:type="character" w:customStyle="1" w:styleId="ListeParagrafChar">
    <w:name w:val="Liste Paragraf Char"/>
    <w:aliases w:val="AK List num Char"/>
    <w:link w:val="ListeParagraf"/>
    <w:uiPriority w:val="34"/>
    <w:qFormat/>
    <w:rsid w:val="004F2004"/>
    <w:rPr>
      <w:rFonts w:asciiTheme="minorHAnsi" w:eastAsiaTheme="minorHAnsi" w:hAnsiTheme="minorHAnsi" w:cstheme="minorBidi"/>
      <w:sz w:val="22"/>
      <w:szCs w:val="22"/>
      <w:lang w:val="en-US" w:eastAsia="en-US"/>
    </w:rPr>
  </w:style>
  <w:style w:type="paragraph" w:styleId="NormalWeb">
    <w:name w:val="Normal (Web)"/>
    <w:basedOn w:val="Normal"/>
    <w:uiPriority w:val="99"/>
    <w:unhideWhenUsed/>
    <w:rsid w:val="003B7B5A"/>
    <w:pPr>
      <w:spacing w:before="100" w:beforeAutospacing="1" w:after="100" w:afterAutospacing="1"/>
    </w:pPr>
    <w:rPr>
      <w:rFonts w:ascii="Times New Roman" w:hAnsi="Times New Roman"/>
      <w:szCs w:val="24"/>
    </w:rPr>
  </w:style>
  <w:style w:type="character" w:styleId="Gl">
    <w:name w:val="Strong"/>
    <w:uiPriority w:val="22"/>
    <w:qFormat/>
    <w:rsid w:val="003B7B5A"/>
    <w:rPr>
      <w:b/>
      <w:bCs/>
    </w:rPr>
  </w:style>
  <w:style w:type="character" w:customStyle="1" w:styleId="Balk2Char">
    <w:name w:val="Başlık 2 Char"/>
    <w:basedOn w:val="VarsaylanParagrafYazTipi"/>
    <w:link w:val="Balk2"/>
    <w:rsid w:val="003B7B5A"/>
    <w:rPr>
      <w:rFonts w:ascii="Calibri" w:hAnsi="Calibri"/>
      <w:b/>
      <w:sz w:val="24"/>
    </w:rPr>
  </w:style>
  <w:style w:type="character" w:customStyle="1" w:styleId="Balk3Char">
    <w:name w:val="Başlık 3 Char"/>
    <w:basedOn w:val="VarsaylanParagrafYazTipi"/>
    <w:link w:val="Balk3"/>
    <w:rsid w:val="003B7B5A"/>
    <w:rPr>
      <w:rFonts w:ascii="Arial" w:hAnsi="Arial" w:cs="Arial"/>
      <w:sz w:val="24"/>
    </w:rPr>
  </w:style>
  <w:style w:type="paragraph" w:customStyle="1" w:styleId="Default">
    <w:name w:val="Default"/>
    <w:rsid w:val="001E6EAC"/>
    <w:pPr>
      <w:autoSpaceDE w:val="0"/>
      <w:autoSpaceDN w:val="0"/>
      <w:adjustRightInd w:val="0"/>
    </w:pPr>
    <w:rPr>
      <w:rFonts w:eastAsiaTheme="minorHAnsi"/>
      <w:color w:val="000000"/>
      <w:sz w:val="24"/>
      <w:szCs w:val="24"/>
      <w:lang w:val="en-US" w:eastAsia="en-US"/>
      <w14:ligatures w14:val="standardContextual"/>
    </w:rPr>
  </w:style>
  <w:style w:type="paragraph" w:styleId="AklamaMetni">
    <w:name w:val="annotation text"/>
    <w:basedOn w:val="Normal"/>
    <w:link w:val="AklamaMetniChar"/>
    <w:uiPriority w:val="99"/>
    <w:unhideWhenUsed/>
    <w:rsid w:val="001E6EAC"/>
    <w:pPr>
      <w:spacing w:after="200"/>
    </w:pPr>
    <w:rPr>
      <w:rFonts w:eastAsia="Calibri"/>
      <w:sz w:val="20"/>
      <w:lang w:eastAsia="en-US"/>
    </w:rPr>
  </w:style>
  <w:style w:type="character" w:customStyle="1" w:styleId="AklamaMetniChar">
    <w:name w:val="Açıklama Metni Char"/>
    <w:basedOn w:val="VarsaylanParagrafYazTipi"/>
    <w:link w:val="AklamaMetni"/>
    <w:uiPriority w:val="99"/>
    <w:rsid w:val="001E6EAC"/>
    <w:rPr>
      <w:rFonts w:ascii="Calibri" w:eastAsia="Calibri" w:hAnsi="Calibri"/>
      <w:lang w:eastAsia="en-US"/>
    </w:rPr>
  </w:style>
  <w:style w:type="character" w:styleId="AklamaBavurusu">
    <w:name w:val="annotation reference"/>
    <w:basedOn w:val="VarsaylanParagrafYazTipi"/>
    <w:uiPriority w:val="99"/>
    <w:unhideWhenUsed/>
    <w:rsid w:val="001E6EAC"/>
    <w:rPr>
      <w:sz w:val="16"/>
      <w:szCs w:val="16"/>
    </w:rPr>
  </w:style>
  <w:style w:type="character" w:styleId="zmlenmeyenBahsetme">
    <w:name w:val="Unresolved Mention"/>
    <w:basedOn w:val="VarsaylanParagrafYazTipi"/>
    <w:uiPriority w:val="99"/>
    <w:semiHidden/>
    <w:unhideWhenUsed/>
    <w:rsid w:val="00217818"/>
    <w:rPr>
      <w:color w:val="605E5C"/>
      <w:shd w:val="clear" w:color="auto" w:fill="E1DFDD"/>
    </w:rPr>
  </w:style>
  <w:style w:type="paragraph" w:customStyle="1" w:styleId="TableParagraph">
    <w:name w:val="Table Paragraph"/>
    <w:basedOn w:val="Normal"/>
    <w:uiPriority w:val="1"/>
    <w:qFormat/>
    <w:rsid w:val="00847DB1"/>
    <w:pPr>
      <w:widowControl w:val="0"/>
      <w:autoSpaceDE w:val="0"/>
      <w:autoSpaceDN w:val="0"/>
      <w:spacing w:before="5"/>
      <w:ind w:left="105"/>
    </w:pPr>
    <w:rPr>
      <w:rFonts w:ascii="Arial" w:hAnsi="Arial"/>
      <w:szCs w:val="22"/>
      <w:lang w:val="en-US" w:eastAsia="en-US"/>
    </w:rPr>
  </w:style>
  <w:style w:type="table" w:styleId="KlavuzTablo1Ak-Vurgu1">
    <w:name w:val="Grid Table 1 Light Accent 1"/>
    <w:basedOn w:val="NormalTablo"/>
    <w:uiPriority w:val="46"/>
    <w:rsid w:val="00847DB1"/>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s7">
    <w:name w:val="s7"/>
    <w:basedOn w:val="VarsaylanParagrafYazTipi"/>
    <w:rsid w:val="00A257BA"/>
  </w:style>
  <w:style w:type="character" w:customStyle="1" w:styleId="apple-converted-space">
    <w:name w:val="apple-converted-space"/>
    <w:basedOn w:val="VarsaylanParagrafYazTipi"/>
    <w:rsid w:val="00A257BA"/>
  </w:style>
  <w:style w:type="paragraph" w:styleId="DipnotMetni">
    <w:name w:val="footnote text"/>
    <w:basedOn w:val="Normal"/>
    <w:link w:val="DipnotMetniChar"/>
    <w:uiPriority w:val="99"/>
    <w:unhideWhenUsed/>
    <w:rsid w:val="005F5B48"/>
    <w:rPr>
      <w:rFonts w:asciiTheme="minorHAnsi" w:eastAsiaTheme="minorHAnsi" w:hAnsiTheme="minorHAnsi" w:cstheme="minorBidi"/>
      <w:kern w:val="2"/>
      <w:sz w:val="20"/>
      <w:lang w:val="en-US" w:eastAsia="en-US"/>
      <w14:ligatures w14:val="standardContextual"/>
    </w:rPr>
  </w:style>
  <w:style w:type="character" w:customStyle="1" w:styleId="DipnotMetniChar">
    <w:name w:val="Dipnot Metni Char"/>
    <w:basedOn w:val="VarsaylanParagrafYazTipi"/>
    <w:link w:val="DipnotMetni"/>
    <w:uiPriority w:val="99"/>
    <w:rsid w:val="005F5B48"/>
    <w:rPr>
      <w:rFonts w:asciiTheme="minorHAnsi" w:eastAsiaTheme="minorHAnsi" w:hAnsiTheme="minorHAnsi" w:cstheme="minorBidi"/>
      <w:kern w:val="2"/>
      <w:lang w:val="en-US" w:eastAsia="en-US"/>
      <w14:ligatures w14:val="standardContextual"/>
    </w:rPr>
  </w:style>
  <w:style w:type="character" w:styleId="DipnotBavurusu">
    <w:name w:val="footnote reference"/>
    <w:basedOn w:val="VarsaylanParagrafYazTipi"/>
    <w:uiPriority w:val="99"/>
    <w:unhideWhenUsed/>
    <w:rsid w:val="005F5B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3675">
      <w:bodyDiv w:val="1"/>
      <w:marLeft w:val="0"/>
      <w:marRight w:val="0"/>
      <w:marTop w:val="0"/>
      <w:marBottom w:val="0"/>
      <w:divBdr>
        <w:top w:val="none" w:sz="0" w:space="0" w:color="auto"/>
        <w:left w:val="none" w:sz="0" w:space="0" w:color="auto"/>
        <w:bottom w:val="none" w:sz="0" w:space="0" w:color="auto"/>
        <w:right w:val="none" w:sz="0" w:space="0" w:color="auto"/>
      </w:divBdr>
      <w:divsChild>
        <w:div w:id="1856454840">
          <w:marLeft w:val="0"/>
          <w:marRight w:val="0"/>
          <w:marTop w:val="0"/>
          <w:marBottom w:val="0"/>
          <w:divBdr>
            <w:top w:val="none" w:sz="0" w:space="0" w:color="auto"/>
            <w:left w:val="none" w:sz="0" w:space="0" w:color="auto"/>
            <w:bottom w:val="none" w:sz="0" w:space="0" w:color="auto"/>
            <w:right w:val="none" w:sz="0" w:space="0" w:color="auto"/>
          </w:divBdr>
        </w:div>
      </w:divsChild>
    </w:div>
    <w:div w:id="82990983">
      <w:bodyDiv w:val="1"/>
      <w:marLeft w:val="0"/>
      <w:marRight w:val="0"/>
      <w:marTop w:val="0"/>
      <w:marBottom w:val="0"/>
      <w:divBdr>
        <w:top w:val="none" w:sz="0" w:space="0" w:color="auto"/>
        <w:left w:val="none" w:sz="0" w:space="0" w:color="auto"/>
        <w:bottom w:val="none" w:sz="0" w:space="0" w:color="auto"/>
        <w:right w:val="none" w:sz="0" w:space="0" w:color="auto"/>
      </w:divBdr>
    </w:div>
    <w:div w:id="110054533">
      <w:bodyDiv w:val="1"/>
      <w:marLeft w:val="0"/>
      <w:marRight w:val="0"/>
      <w:marTop w:val="0"/>
      <w:marBottom w:val="0"/>
      <w:divBdr>
        <w:top w:val="none" w:sz="0" w:space="0" w:color="auto"/>
        <w:left w:val="none" w:sz="0" w:space="0" w:color="auto"/>
        <w:bottom w:val="none" w:sz="0" w:space="0" w:color="auto"/>
        <w:right w:val="none" w:sz="0" w:space="0" w:color="auto"/>
      </w:divBdr>
    </w:div>
    <w:div w:id="143930894">
      <w:bodyDiv w:val="1"/>
      <w:marLeft w:val="0"/>
      <w:marRight w:val="0"/>
      <w:marTop w:val="0"/>
      <w:marBottom w:val="0"/>
      <w:divBdr>
        <w:top w:val="none" w:sz="0" w:space="0" w:color="auto"/>
        <w:left w:val="none" w:sz="0" w:space="0" w:color="auto"/>
        <w:bottom w:val="none" w:sz="0" w:space="0" w:color="auto"/>
        <w:right w:val="none" w:sz="0" w:space="0" w:color="auto"/>
      </w:divBdr>
    </w:div>
    <w:div w:id="272519127">
      <w:bodyDiv w:val="1"/>
      <w:marLeft w:val="0"/>
      <w:marRight w:val="0"/>
      <w:marTop w:val="0"/>
      <w:marBottom w:val="0"/>
      <w:divBdr>
        <w:top w:val="none" w:sz="0" w:space="0" w:color="auto"/>
        <w:left w:val="none" w:sz="0" w:space="0" w:color="auto"/>
        <w:bottom w:val="none" w:sz="0" w:space="0" w:color="auto"/>
        <w:right w:val="none" w:sz="0" w:space="0" w:color="auto"/>
      </w:divBdr>
    </w:div>
    <w:div w:id="279344660">
      <w:bodyDiv w:val="1"/>
      <w:marLeft w:val="0"/>
      <w:marRight w:val="0"/>
      <w:marTop w:val="0"/>
      <w:marBottom w:val="0"/>
      <w:divBdr>
        <w:top w:val="none" w:sz="0" w:space="0" w:color="auto"/>
        <w:left w:val="none" w:sz="0" w:space="0" w:color="auto"/>
        <w:bottom w:val="none" w:sz="0" w:space="0" w:color="auto"/>
        <w:right w:val="none" w:sz="0" w:space="0" w:color="auto"/>
      </w:divBdr>
    </w:div>
    <w:div w:id="330525680">
      <w:bodyDiv w:val="1"/>
      <w:marLeft w:val="0"/>
      <w:marRight w:val="0"/>
      <w:marTop w:val="0"/>
      <w:marBottom w:val="0"/>
      <w:divBdr>
        <w:top w:val="none" w:sz="0" w:space="0" w:color="auto"/>
        <w:left w:val="none" w:sz="0" w:space="0" w:color="auto"/>
        <w:bottom w:val="none" w:sz="0" w:space="0" w:color="auto"/>
        <w:right w:val="none" w:sz="0" w:space="0" w:color="auto"/>
      </w:divBdr>
    </w:div>
    <w:div w:id="355085719">
      <w:bodyDiv w:val="1"/>
      <w:marLeft w:val="0"/>
      <w:marRight w:val="0"/>
      <w:marTop w:val="0"/>
      <w:marBottom w:val="0"/>
      <w:divBdr>
        <w:top w:val="none" w:sz="0" w:space="0" w:color="auto"/>
        <w:left w:val="none" w:sz="0" w:space="0" w:color="auto"/>
        <w:bottom w:val="none" w:sz="0" w:space="0" w:color="auto"/>
        <w:right w:val="none" w:sz="0" w:space="0" w:color="auto"/>
      </w:divBdr>
    </w:div>
    <w:div w:id="492256591">
      <w:bodyDiv w:val="1"/>
      <w:marLeft w:val="0"/>
      <w:marRight w:val="0"/>
      <w:marTop w:val="0"/>
      <w:marBottom w:val="0"/>
      <w:divBdr>
        <w:top w:val="none" w:sz="0" w:space="0" w:color="auto"/>
        <w:left w:val="none" w:sz="0" w:space="0" w:color="auto"/>
        <w:bottom w:val="none" w:sz="0" w:space="0" w:color="auto"/>
        <w:right w:val="none" w:sz="0" w:space="0" w:color="auto"/>
      </w:divBdr>
    </w:div>
    <w:div w:id="689647033">
      <w:bodyDiv w:val="1"/>
      <w:marLeft w:val="0"/>
      <w:marRight w:val="0"/>
      <w:marTop w:val="0"/>
      <w:marBottom w:val="0"/>
      <w:divBdr>
        <w:top w:val="none" w:sz="0" w:space="0" w:color="auto"/>
        <w:left w:val="none" w:sz="0" w:space="0" w:color="auto"/>
        <w:bottom w:val="none" w:sz="0" w:space="0" w:color="auto"/>
        <w:right w:val="none" w:sz="0" w:space="0" w:color="auto"/>
      </w:divBdr>
    </w:div>
    <w:div w:id="880020930">
      <w:bodyDiv w:val="1"/>
      <w:marLeft w:val="0"/>
      <w:marRight w:val="0"/>
      <w:marTop w:val="0"/>
      <w:marBottom w:val="0"/>
      <w:divBdr>
        <w:top w:val="none" w:sz="0" w:space="0" w:color="auto"/>
        <w:left w:val="none" w:sz="0" w:space="0" w:color="auto"/>
        <w:bottom w:val="none" w:sz="0" w:space="0" w:color="auto"/>
        <w:right w:val="none" w:sz="0" w:space="0" w:color="auto"/>
      </w:divBdr>
    </w:div>
    <w:div w:id="948003057">
      <w:bodyDiv w:val="1"/>
      <w:marLeft w:val="0"/>
      <w:marRight w:val="0"/>
      <w:marTop w:val="0"/>
      <w:marBottom w:val="0"/>
      <w:divBdr>
        <w:top w:val="none" w:sz="0" w:space="0" w:color="auto"/>
        <w:left w:val="none" w:sz="0" w:space="0" w:color="auto"/>
        <w:bottom w:val="none" w:sz="0" w:space="0" w:color="auto"/>
        <w:right w:val="none" w:sz="0" w:space="0" w:color="auto"/>
      </w:divBdr>
      <w:divsChild>
        <w:div w:id="1533953297">
          <w:marLeft w:val="0"/>
          <w:marRight w:val="0"/>
          <w:marTop w:val="0"/>
          <w:marBottom w:val="0"/>
          <w:divBdr>
            <w:top w:val="none" w:sz="0" w:space="0" w:color="auto"/>
            <w:left w:val="none" w:sz="0" w:space="0" w:color="auto"/>
            <w:bottom w:val="none" w:sz="0" w:space="0" w:color="auto"/>
            <w:right w:val="none" w:sz="0" w:space="0" w:color="auto"/>
          </w:divBdr>
        </w:div>
      </w:divsChild>
    </w:div>
    <w:div w:id="982658051">
      <w:bodyDiv w:val="1"/>
      <w:marLeft w:val="0"/>
      <w:marRight w:val="0"/>
      <w:marTop w:val="0"/>
      <w:marBottom w:val="0"/>
      <w:divBdr>
        <w:top w:val="none" w:sz="0" w:space="0" w:color="auto"/>
        <w:left w:val="none" w:sz="0" w:space="0" w:color="auto"/>
        <w:bottom w:val="none" w:sz="0" w:space="0" w:color="auto"/>
        <w:right w:val="none" w:sz="0" w:space="0" w:color="auto"/>
      </w:divBdr>
    </w:div>
    <w:div w:id="1066954017">
      <w:bodyDiv w:val="1"/>
      <w:marLeft w:val="0"/>
      <w:marRight w:val="0"/>
      <w:marTop w:val="0"/>
      <w:marBottom w:val="0"/>
      <w:divBdr>
        <w:top w:val="none" w:sz="0" w:space="0" w:color="auto"/>
        <w:left w:val="none" w:sz="0" w:space="0" w:color="auto"/>
        <w:bottom w:val="none" w:sz="0" w:space="0" w:color="auto"/>
        <w:right w:val="none" w:sz="0" w:space="0" w:color="auto"/>
      </w:divBdr>
    </w:div>
    <w:div w:id="1095519350">
      <w:bodyDiv w:val="1"/>
      <w:marLeft w:val="0"/>
      <w:marRight w:val="0"/>
      <w:marTop w:val="0"/>
      <w:marBottom w:val="0"/>
      <w:divBdr>
        <w:top w:val="none" w:sz="0" w:space="0" w:color="auto"/>
        <w:left w:val="none" w:sz="0" w:space="0" w:color="auto"/>
        <w:bottom w:val="none" w:sz="0" w:space="0" w:color="auto"/>
        <w:right w:val="none" w:sz="0" w:space="0" w:color="auto"/>
      </w:divBdr>
    </w:div>
    <w:div w:id="1114129930">
      <w:bodyDiv w:val="1"/>
      <w:marLeft w:val="0"/>
      <w:marRight w:val="0"/>
      <w:marTop w:val="0"/>
      <w:marBottom w:val="0"/>
      <w:divBdr>
        <w:top w:val="none" w:sz="0" w:space="0" w:color="auto"/>
        <w:left w:val="none" w:sz="0" w:space="0" w:color="auto"/>
        <w:bottom w:val="none" w:sz="0" w:space="0" w:color="auto"/>
        <w:right w:val="none" w:sz="0" w:space="0" w:color="auto"/>
      </w:divBdr>
    </w:div>
    <w:div w:id="1219973062">
      <w:bodyDiv w:val="1"/>
      <w:marLeft w:val="0"/>
      <w:marRight w:val="0"/>
      <w:marTop w:val="0"/>
      <w:marBottom w:val="0"/>
      <w:divBdr>
        <w:top w:val="none" w:sz="0" w:space="0" w:color="auto"/>
        <w:left w:val="none" w:sz="0" w:space="0" w:color="auto"/>
        <w:bottom w:val="none" w:sz="0" w:space="0" w:color="auto"/>
        <w:right w:val="none" w:sz="0" w:space="0" w:color="auto"/>
      </w:divBdr>
    </w:div>
    <w:div w:id="1262489429">
      <w:bodyDiv w:val="1"/>
      <w:marLeft w:val="0"/>
      <w:marRight w:val="0"/>
      <w:marTop w:val="0"/>
      <w:marBottom w:val="0"/>
      <w:divBdr>
        <w:top w:val="none" w:sz="0" w:space="0" w:color="auto"/>
        <w:left w:val="none" w:sz="0" w:space="0" w:color="auto"/>
        <w:bottom w:val="none" w:sz="0" w:space="0" w:color="auto"/>
        <w:right w:val="none" w:sz="0" w:space="0" w:color="auto"/>
      </w:divBdr>
    </w:div>
    <w:div w:id="1283879668">
      <w:bodyDiv w:val="1"/>
      <w:marLeft w:val="0"/>
      <w:marRight w:val="0"/>
      <w:marTop w:val="0"/>
      <w:marBottom w:val="0"/>
      <w:divBdr>
        <w:top w:val="none" w:sz="0" w:space="0" w:color="auto"/>
        <w:left w:val="none" w:sz="0" w:space="0" w:color="auto"/>
        <w:bottom w:val="none" w:sz="0" w:space="0" w:color="auto"/>
        <w:right w:val="none" w:sz="0" w:space="0" w:color="auto"/>
      </w:divBdr>
    </w:div>
    <w:div w:id="1375156261">
      <w:bodyDiv w:val="1"/>
      <w:marLeft w:val="0"/>
      <w:marRight w:val="0"/>
      <w:marTop w:val="0"/>
      <w:marBottom w:val="0"/>
      <w:divBdr>
        <w:top w:val="none" w:sz="0" w:space="0" w:color="auto"/>
        <w:left w:val="none" w:sz="0" w:space="0" w:color="auto"/>
        <w:bottom w:val="none" w:sz="0" w:space="0" w:color="auto"/>
        <w:right w:val="none" w:sz="0" w:space="0" w:color="auto"/>
      </w:divBdr>
    </w:div>
    <w:div w:id="1487471930">
      <w:bodyDiv w:val="1"/>
      <w:marLeft w:val="0"/>
      <w:marRight w:val="0"/>
      <w:marTop w:val="0"/>
      <w:marBottom w:val="0"/>
      <w:divBdr>
        <w:top w:val="none" w:sz="0" w:space="0" w:color="auto"/>
        <w:left w:val="none" w:sz="0" w:space="0" w:color="auto"/>
        <w:bottom w:val="none" w:sz="0" w:space="0" w:color="auto"/>
        <w:right w:val="none" w:sz="0" w:space="0" w:color="auto"/>
      </w:divBdr>
    </w:div>
    <w:div w:id="1504512640">
      <w:bodyDiv w:val="1"/>
      <w:marLeft w:val="0"/>
      <w:marRight w:val="0"/>
      <w:marTop w:val="0"/>
      <w:marBottom w:val="0"/>
      <w:divBdr>
        <w:top w:val="none" w:sz="0" w:space="0" w:color="auto"/>
        <w:left w:val="none" w:sz="0" w:space="0" w:color="auto"/>
        <w:bottom w:val="none" w:sz="0" w:space="0" w:color="auto"/>
        <w:right w:val="none" w:sz="0" w:space="0" w:color="auto"/>
      </w:divBdr>
    </w:div>
    <w:div w:id="1526285761">
      <w:bodyDiv w:val="1"/>
      <w:marLeft w:val="0"/>
      <w:marRight w:val="0"/>
      <w:marTop w:val="0"/>
      <w:marBottom w:val="0"/>
      <w:divBdr>
        <w:top w:val="none" w:sz="0" w:space="0" w:color="auto"/>
        <w:left w:val="none" w:sz="0" w:space="0" w:color="auto"/>
        <w:bottom w:val="none" w:sz="0" w:space="0" w:color="auto"/>
        <w:right w:val="none" w:sz="0" w:space="0" w:color="auto"/>
      </w:divBdr>
    </w:div>
    <w:div w:id="1572228175">
      <w:bodyDiv w:val="1"/>
      <w:marLeft w:val="0"/>
      <w:marRight w:val="0"/>
      <w:marTop w:val="0"/>
      <w:marBottom w:val="0"/>
      <w:divBdr>
        <w:top w:val="none" w:sz="0" w:space="0" w:color="auto"/>
        <w:left w:val="none" w:sz="0" w:space="0" w:color="auto"/>
        <w:bottom w:val="none" w:sz="0" w:space="0" w:color="auto"/>
        <w:right w:val="none" w:sz="0" w:space="0" w:color="auto"/>
      </w:divBdr>
    </w:div>
    <w:div w:id="1581141428">
      <w:bodyDiv w:val="1"/>
      <w:marLeft w:val="0"/>
      <w:marRight w:val="0"/>
      <w:marTop w:val="0"/>
      <w:marBottom w:val="0"/>
      <w:divBdr>
        <w:top w:val="none" w:sz="0" w:space="0" w:color="auto"/>
        <w:left w:val="none" w:sz="0" w:space="0" w:color="auto"/>
        <w:bottom w:val="none" w:sz="0" w:space="0" w:color="auto"/>
        <w:right w:val="none" w:sz="0" w:space="0" w:color="auto"/>
      </w:divBdr>
    </w:div>
    <w:div w:id="1591574402">
      <w:bodyDiv w:val="1"/>
      <w:marLeft w:val="0"/>
      <w:marRight w:val="0"/>
      <w:marTop w:val="0"/>
      <w:marBottom w:val="0"/>
      <w:divBdr>
        <w:top w:val="none" w:sz="0" w:space="0" w:color="auto"/>
        <w:left w:val="none" w:sz="0" w:space="0" w:color="auto"/>
        <w:bottom w:val="none" w:sz="0" w:space="0" w:color="auto"/>
        <w:right w:val="none" w:sz="0" w:space="0" w:color="auto"/>
      </w:divBdr>
      <w:divsChild>
        <w:div w:id="54817726">
          <w:marLeft w:val="0"/>
          <w:marRight w:val="0"/>
          <w:marTop w:val="0"/>
          <w:marBottom w:val="0"/>
          <w:divBdr>
            <w:top w:val="none" w:sz="0" w:space="0" w:color="auto"/>
            <w:left w:val="none" w:sz="0" w:space="0" w:color="auto"/>
            <w:bottom w:val="none" w:sz="0" w:space="0" w:color="auto"/>
            <w:right w:val="none" w:sz="0" w:space="0" w:color="auto"/>
          </w:divBdr>
        </w:div>
      </w:divsChild>
    </w:div>
    <w:div w:id="1646660016">
      <w:bodyDiv w:val="1"/>
      <w:marLeft w:val="0"/>
      <w:marRight w:val="0"/>
      <w:marTop w:val="0"/>
      <w:marBottom w:val="0"/>
      <w:divBdr>
        <w:top w:val="none" w:sz="0" w:space="0" w:color="auto"/>
        <w:left w:val="none" w:sz="0" w:space="0" w:color="auto"/>
        <w:bottom w:val="none" w:sz="0" w:space="0" w:color="auto"/>
        <w:right w:val="none" w:sz="0" w:space="0" w:color="auto"/>
      </w:divBdr>
      <w:divsChild>
        <w:div w:id="1993174226">
          <w:marLeft w:val="0"/>
          <w:marRight w:val="0"/>
          <w:marTop w:val="0"/>
          <w:marBottom w:val="0"/>
          <w:divBdr>
            <w:top w:val="none" w:sz="0" w:space="0" w:color="auto"/>
            <w:left w:val="none" w:sz="0" w:space="0" w:color="auto"/>
            <w:bottom w:val="none" w:sz="0" w:space="0" w:color="auto"/>
            <w:right w:val="none" w:sz="0" w:space="0" w:color="auto"/>
          </w:divBdr>
        </w:div>
      </w:divsChild>
    </w:div>
    <w:div w:id="1650674785">
      <w:bodyDiv w:val="1"/>
      <w:marLeft w:val="0"/>
      <w:marRight w:val="0"/>
      <w:marTop w:val="0"/>
      <w:marBottom w:val="0"/>
      <w:divBdr>
        <w:top w:val="none" w:sz="0" w:space="0" w:color="auto"/>
        <w:left w:val="none" w:sz="0" w:space="0" w:color="auto"/>
        <w:bottom w:val="none" w:sz="0" w:space="0" w:color="auto"/>
        <w:right w:val="none" w:sz="0" w:space="0" w:color="auto"/>
      </w:divBdr>
    </w:div>
    <w:div w:id="1727803372">
      <w:bodyDiv w:val="1"/>
      <w:marLeft w:val="0"/>
      <w:marRight w:val="0"/>
      <w:marTop w:val="0"/>
      <w:marBottom w:val="0"/>
      <w:divBdr>
        <w:top w:val="none" w:sz="0" w:space="0" w:color="auto"/>
        <w:left w:val="none" w:sz="0" w:space="0" w:color="auto"/>
        <w:bottom w:val="none" w:sz="0" w:space="0" w:color="auto"/>
        <w:right w:val="none" w:sz="0" w:space="0" w:color="auto"/>
      </w:divBdr>
    </w:div>
    <w:div w:id="1750348870">
      <w:bodyDiv w:val="1"/>
      <w:marLeft w:val="0"/>
      <w:marRight w:val="0"/>
      <w:marTop w:val="0"/>
      <w:marBottom w:val="0"/>
      <w:divBdr>
        <w:top w:val="none" w:sz="0" w:space="0" w:color="auto"/>
        <w:left w:val="none" w:sz="0" w:space="0" w:color="auto"/>
        <w:bottom w:val="none" w:sz="0" w:space="0" w:color="auto"/>
        <w:right w:val="none" w:sz="0" w:space="0" w:color="auto"/>
      </w:divBdr>
    </w:div>
    <w:div w:id="1826160991">
      <w:bodyDiv w:val="1"/>
      <w:marLeft w:val="0"/>
      <w:marRight w:val="0"/>
      <w:marTop w:val="0"/>
      <w:marBottom w:val="0"/>
      <w:divBdr>
        <w:top w:val="none" w:sz="0" w:space="0" w:color="auto"/>
        <w:left w:val="none" w:sz="0" w:space="0" w:color="auto"/>
        <w:bottom w:val="none" w:sz="0" w:space="0" w:color="auto"/>
        <w:right w:val="none" w:sz="0" w:space="0" w:color="auto"/>
      </w:divBdr>
    </w:div>
    <w:div w:id="1886332117">
      <w:bodyDiv w:val="1"/>
      <w:marLeft w:val="0"/>
      <w:marRight w:val="0"/>
      <w:marTop w:val="0"/>
      <w:marBottom w:val="0"/>
      <w:divBdr>
        <w:top w:val="none" w:sz="0" w:space="0" w:color="auto"/>
        <w:left w:val="none" w:sz="0" w:space="0" w:color="auto"/>
        <w:bottom w:val="none" w:sz="0" w:space="0" w:color="auto"/>
        <w:right w:val="none" w:sz="0" w:space="0" w:color="auto"/>
      </w:divBdr>
    </w:div>
    <w:div w:id="1900900491">
      <w:bodyDiv w:val="1"/>
      <w:marLeft w:val="0"/>
      <w:marRight w:val="0"/>
      <w:marTop w:val="0"/>
      <w:marBottom w:val="0"/>
      <w:divBdr>
        <w:top w:val="none" w:sz="0" w:space="0" w:color="auto"/>
        <w:left w:val="none" w:sz="0" w:space="0" w:color="auto"/>
        <w:bottom w:val="none" w:sz="0" w:space="0" w:color="auto"/>
        <w:right w:val="none" w:sz="0" w:space="0" w:color="auto"/>
      </w:divBdr>
    </w:div>
    <w:div w:id="1965233849">
      <w:bodyDiv w:val="1"/>
      <w:marLeft w:val="0"/>
      <w:marRight w:val="0"/>
      <w:marTop w:val="0"/>
      <w:marBottom w:val="0"/>
      <w:divBdr>
        <w:top w:val="none" w:sz="0" w:space="0" w:color="auto"/>
        <w:left w:val="none" w:sz="0" w:space="0" w:color="auto"/>
        <w:bottom w:val="none" w:sz="0" w:space="0" w:color="auto"/>
        <w:right w:val="none" w:sz="0" w:space="0" w:color="auto"/>
      </w:divBdr>
      <w:divsChild>
        <w:div w:id="1107971380">
          <w:marLeft w:val="0"/>
          <w:marRight w:val="0"/>
          <w:marTop w:val="0"/>
          <w:marBottom w:val="0"/>
          <w:divBdr>
            <w:top w:val="none" w:sz="0" w:space="0" w:color="auto"/>
            <w:left w:val="none" w:sz="0" w:space="0" w:color="auto"/>
            <w:bottom w:val="none" w:sz="0" w:space="0" w:color="auto"/>
            <w:right w:val="none" w:sz="0" w:space="0" w:color="auto"/>
          </w:divBdr>
        </w:div>
      </w:divsChild>
    </w:div>
    <w:div w:id="2009553571">
      <w:bodyDiv w:val="1"/>
      <w:marLeft w:val="0"/>
      <w:marRight w:val="0"/>
      <w:marTop w:val="0"/>
      <w:marBottom w:val="0"/>
      <w:divBdr>
        <w:top w:val="none" w:sz="0" w:space="0" w:color="auto"/>
        <w:left w:val="none" w:sz="0" w:space="0" w:color="auto"/>
        <w:bottom w:val="none" w:sz="0" w:space="0" w:color="auto"/>
        <w:right w:val="none" w:sz="0" w:space="0" w:color="auto"/>
      </w:divBdr>
    </w:div>
    <w:div w:id="2013757224">
      <w:bodyDiv w:val="1"/>
      <w:marLeft w:val="0"/>
      <w:marRight w:val="0"/>
      <w:marTop w:val="0"/>
      <w:marBottom w:val="0"/>
      <w:divBdr>
        <w:top w:val="none" w:sz="0" w:space="0" w:color="auto"/>
        <w:left w:val="none" w:sz="0" w:space="0" w:color="auto"/>
        <w:bottom w:val="none" w:sz="0" w:space="0" w:color="auto"/>
        <w:right w:val="none" w:sz="0" w:space="0" w:color="auto"/>
      </w:divBdr>
    </w:div>
    <w:div w:id="2035425218">
      <w:bodyDiv w:val="1"/>
      <w:marLeft w:val="0"/>
      <w:marRight w:val="0"/>
      <w:marTop w:val="0"/>
      <w:marBottom w:val="0"/>
      <w:divBdr>
        <w:top w:val="none" w:sz="0" w:space="0" w:color="auto"/>
        <w:left w:val="none" w:sz="0" w:space="0" w:color="auto"/>
        <w:bottom w:val="none" w:sz="0" w:space="0" w:color="auto"/>
        <w:right w:val="none" w:sz="0" w:space="0" w:color="auto"/>
      </w:divBdr>
    </w:div>
    <w:div w:id="213293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uup.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C82D686A1A1244835966263CB952AB" ma:contentTypeVersion="0" ma:contentTypeDescription="Create a new document." ma:contentTypeScope="" ma:versionID="1399e98155b346ac9a38af09f73cb0e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93118F-C829-4F84-9774-E001891366C8}">
  <ds:schemaRefs>
    <ds:schemaRef ds:uri="http://schemas.openxmlformats.org/officeDocument/2006/bibliography"/>
  </ds:schemaRefs>
</ds:datastoreItem>
</file>

<file path=customXml/itemProps2.xml><?xml version="1.0" encoding="utf-8"?>
<ds:datastoreItem xmlns:ds="http://schemas.openxmlformats.org/officeDocument/2006/customXml" ds:itemID="{9DE909D2-3DB0-4411-A863-AEB95E861BB6}">
  <ds:schemaRefs>
    <ds:schemaRef ds:uri="http://schemas.microsoft.com/office/2006/metadata/longProperties"/>
  </ds:schemaRefs>
</ds:datastoreItem>
</file>

<file path=customXml/itemProps3.xml><?xml version="1.0" encoding="utf-8"?>
<ds:datastoreItem xmlns:ds="http://schemas.openxmlformats.org/officeDocument/2006/customXml" ds:itemID="{005F76C2-08E7-4884-9420-A44B4EF3B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756CEF-BC59-4761-9787-AB08517D6224}">
  <ds:schemaRefs>
    <ds:schemaRef ds:uri="http://schemas.microsoft.com/sharepoint/v3/contenttype/forms"/>
  </ds:schemaRefs>
</ds:datastoreItem>
</file>

<file path=customXml/itemProps5.xml><?xml version="1.0" encoding="utf-8"?>
<ds:datastoreItem xmlns:ds="http://schemas.openxmlformats.org/officeDocument/2006/customXml" ds:itemID="{01C16FD0-BE68-451E-9572-A661EC70CA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6</Pages>
  <Words>3079</Words>
  <Characters>17551</Characters>
  <Application>Microsoft Office Word</Application>
  <DocSecurity>0</DocSecurity>
  <Lines>146</Lines>
  <Paragraphs>41</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AMAÇ</vt:lpstr>
      <vt:lpstr>AMAÇ</vt:lpstr>
      <vt:lpstr>AMAÇ</vt:lpstr>
    </vt:vector>
  </TitlesOfParts>
  <Company>Unknown Organization</Company>
  <LinksUpToDate>false</LinksUpToDate>
  <CharactersWithSpaces>20589</CharactersWithSpaces>
  <SharedDoc>false</SharedDoc>
  <HLinks>
    <vt:vector size="42" baseType="variant">
      <vt:variant>
        <vt:i4>1048625</vt:i4>
      </vt:variant>
      <vt:variant>
        <vt:i4>38</vt:i4>
      </vt:variant>
      <vt:variant>
        <vt:i4>0</vt:i4>
      </vt:variant>
      <vt:variant>
        <vt:i4>5</vt:i4>
      </vt:variant>
      <vt:variant>
        <vt:lpwstr/>
      </vt:variant>
      <vt:variant>
        <vt:lpwstr>_Toc495395980</vt:lpwstr>
      </vt:variant>
      <vt:variant>
        <vt:i4>2031665</vt:i4>
      </vt:variant>
      <vt:variant>
        <vt:i4>32</vt:i4>
      </vt:variant>
      <vt:variant>
        <vt:i4>0</vt:i4>
      </vt:variant>
      <vt:variant>
        <vt:i4>5</vt:i4>
      </vt:variant>
      <vt:variant>
        <vt:lpwstr/>
      </vt:variant>
      <vt:variant>
        <vt:lpwstr>_Toc495395979</vt:lpwstr>
      </vt:variant>
      <vt:variant>
        <vt:i4>2031665</vt:i4>
      </vt:variant>
      <vt:variant>
        <vt:i4>26</vt:i4>
      </vt:variant>
      <vt:variant>
        <vt:i4>0</vt:i4>
      </vt:variant>
      <vt:variant>
        <vt:i4>5</vt:i4>
      </vt:variant>
      <vt:variant>
        <vt:lpwstr/>
      </vt:variant>
      <vt:variant>
        <vt:lpwstr>_Toc495395978</vt:lpwstr>
      </vt:variant>
      <vt:variant>
        <vt:i4>2031665</vt:i4>
      </vt:variant>
      <vt:variant>
        <vt:i4>20</vt:i4>
      </vt:variant>
      <vt:variant>
        <vt:i4>0</vt:i4>
      </vt:variant>
      <vt:variant>
        <vt:i4>5</vt:i4>
      </vt:variant>
      <vt:variant>
        <vt:lpwstr/>
      </vt:variant>
      <vt:variant>
        <vt:lpwstr>_Toc495395977</vt:lpwstr>
      </vt:variant>
      <vt:variant>
        <vt:i4>2031665</vt:i4>
      </vt:variant>
      <vt:variant>
        <vt:i4>14</vt:i4>
      </vt:variant>
      <vt:variant>
        <vt:i4>0</vt:i4>
      </vt:variant>
      <vt:variant>
        <vt:i4>5</vt:i4>
      </vt:variant>
      <vt:variant>
        <vt:lpwstr/>
      </vt:variant>
      <vt:variant>
        <vt:lpwstr>_Toc495395976</vt:lpwstr>
      </vt:variant>
      <vt:variant>
        <vt:i4>2031665</vt:i4>
      </vt:variant>
      <vt:variant>
        <vt:i4>8</vt:i4>
      </vt:variant>
      <vt:variant>
        <vt:i4>0</vt:i4>
      </vt:variant>
      <vt:variant>
        <vt:i4>5</vt:i4>
      </vt:variant>
      <vt:variant>
        <vt:lpwstr/>
      </vt:variant>
      <vt:variant>
        <vt:lpwstr>_Toc495395975</vt:lpwstr>
      </vt:variant>
      <vt:variant>
        <vt:i4>2031665</vt:i4>
      </vt:variant>
      <vt:variant>
        <vt:i4>2</vt:i4>
      </vt:variant>
      <vt:variant>
        <vt:i4>0</vt:i4>
      </vt:variant>
      <vt:variant>
        <vt:i4>5</vt:i4>
      </vt:variant>
      <vt:variant>
        <vt:lpwstr/>
      </vt:variant>
      <vt:variant>
        <vt:lpwstr>_Toc495395974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AMAÇ</dc:title>
  <dc:subject/>
  <dc:creator>Unknown User</dc:creator>
  <cp:keywords/>
  <dc:description/>
  <cp:lastModifiedBy>Kamil Bilgen (EVOSYS)</cp:lastModifiedBy>
  <cp:revision>28</cp:revision>
  <cp:lastPrinted>2017-08-24T11:29:00Z</cp:lastPrinted>
  <dcterms:created xsi:type="dcterms:W3CDTF">2024-07-04T10:16:00Z</dcterms:created>
  <dcterms:modified xsi:type="dcterms:W3CDTF">2026-08-25T21:03:00Z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0x01010028C82D686A1A1244835966263CB952AB</vt:lpwstr>
  </property>
</Properties>
</file>